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bookmarkStart w:id="2" w:name="_GoBack"/>
      <w:bookmarkEnd w:id="2"/>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4：</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非财政拨款</w:t>
      </w:r>
      <w:r>
        <w:rPr>
          <w:rFonts w:eastAsia="方正小标宋_GBK"/>
          <w:kern w:val="0"/>
          <w:sz w:val="48"/>
          <w:szCs w:val="48"/>
        </w:rPr>
        <w:t>资金项目支出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弥补人员经费</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both"/>
        <w:textAlignment w:val="auto"/>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eastAsia="zh-CN"/>
        </w:rPr>
        <w:t>：</w:t>
      </w:r>
      <w:r>
        <w:rPr>
          <w:rFonts w:hint="default" w:ascii="Times New Roman" w:hAnsi="Times New Roman" w:eastAsia="仿宋_GB2312" w:cs="Times New Roman"/>
          <w:spacing w:val="-23"/>
          <w:w w:val="80"/>
          <w:kern w:val="0"/>
          <w:sz w:val="36"/>
          <w:szCs w:val="36"/>
          <w:lang w:eastAsia="zh-CN"/>
        </w:rPr>
        <w:t>自治区畜牧兽医局畜牧科技资料编译室</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hint="eastAsia"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自治区畜牧兽医局</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张瑾</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1</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highlight w:val="none"/>
        </w:rPr>
      </w:pPr>
    </w:p>
    <w:p>
      <w:pPr>
        <w:spacing w:line="600" w:lineRule="exact"/>
        <w:rPr>
          <w:rFonts w:eastAsia="黑体"/>
          <w:bCs/>
          <w:sz w:val="32"/>
          <w:szCs w:val="32"/>
          <w:highlight w:val="none"/>
        </w:rPr>
      </w:pPr>
    </w:p>
    <w:p>
      <w:pPr>
        <w:spacing w:line="600" w:lineRule="exact"/>
        <w:rPr>
          <w:rFonts w:eastAsia="黑体"/>
          <w:bCs/>
          <w:sz w:val="32"/>
          <w:szCs w:val="32"/>
          <w:highlight w:val="none"/>
        </w:rPr>
      </w:pPr>
      <w:r>
        <w:rPr>
          <w:rFonts w:eastAsia="黑体"/>
          <w:bCs/>
          <w:sz w:val="32"/>
          <w:szCs w:val="32"/>
          <w:highlight w:val="none"/>
        </w:rPr>
        <w:t>一、基本情况</w:t>
      </w:r>
    </w:p>
    <w:p>
      <w:pPr>
        <w:spacing w:line="600" w:lineRule="exact"/>
        <w:ind w:firstLine="641"/>
        <w:rPr>
          <w:rFonts w:eastAsia="楷体_GB2312"/>
          <w:b/>
          <w:bCs/>
          <w:sz w:val="32"/>
          <w:szCs w:val="32"/>
          <w:highlight w:val="none"/>
        </w:rPr>
      </w:pPr>
      <w:r>
        <w:rPr>
          <w:rFonts w:eastAsia="楷体_GB2312"/>
          <w:b/>
          <w:bCs/>
          <w:sz w:val="32"/>
          <w:szCs w:val="32"/>
          <w:highlight w:val="none"/>
        </w:rPr>
        <w:t>（一）项目概况</w:t>
      </w:r>
    </w:p>
    <w:p>
      <w:pPr>
        <w:spacing w:line="600" w:lineRule="exact"/>
        <w:ind w:firstLine="641"/>
        <w:rPr>
          <w:rFonts w:eastAsia="仿宋_GB2312"/>
          <w:b/>
          <w:bCs/>
          <w:sz w:val="32"/>
          <w:szCs w:val="32"/>
          <w:highlight w:val="none"/>
        </w:rPr>
      </w:pPr>
      <w:r>
        <w:rPr>
          <w:rFonts w:eastAsia="仿宋_GB2312"/>
          <w:b/>
          <w:bCs/>
          <w:sz w:val="32"/>
          <w:szCs w:val="32"/>
          <w:highlight w:val="none"/>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highlight w:val="none"/>
          <w:lang w:val="en-US" w:eastAsia="zh-CN"/>
        </w:rPr>
      </w:pPr>
      <w:r>
        <w:rPr>
          <w:rFonts w:hint="eastAsia" w:eastAsia="仿宋_GB2312"/>
          <w:sz w:val="32"/>
          <w:szCs w:val="32"/>
          <w:highlight w:val="none"/>
        </w:rPr>
        <w:t>自治区畜牧兽医局畜牧科技资料编译室是畜牧兽医局直属的正县级独立核算的全额拨款事业单位，成立于1978年。</w:t>
      </w:r>
      <w:r>
        <w:rPr>
          <w:rFonts w:hint="eastAsia" w:eastAsia="仿宋_GB2312"/>
          <w:sz w:val="32"/>
          <w:szCs w:val="32"/>
          <w:highlight w:val="none"/>
          <w:lang w:val="en-US" w:eastAsia="zh-CN"/>
        </w:rPr>
        <w:t xml:space="preserve">      2023年申请非财政拨款《弥补人员经费》项目主要目标为</w:t>
      </w:r>
      <w:r>
        <w:rPr>
          <w:rFonts w:hint="eastAsia" w:ascii="仿宋_GB2312" w:hAnsi="Calibri" w:eastAsia="仿宋_GB2312" w:cs="Times New Roman"/>
          <w:sz w:val="32"/>
          <w:szCs w:val="32"/>
          <w:highlight w:val="none"/>
          <w:lang w:eastAsia="zh-CN"/>
        </w:rPr>
        <w:t>确保单位职工基本生活保障，保证单位工作正常开展，圆满完成各项绩效目标考核。</w:t>
      </w:r>
    </w:p>
    <w:p>
      <w:pPr>
        <w:pStyle w:val="17"/>
        <w:numPr>
          <w:ilvl w:val="0"/>
          <w:numId w:val="1"/>
        </w:numPr>
        <w:spacing w:before="0" w:after="0" w:line="600" w:lineRule="exact"/>
        <w:ind w:firstLine="642" w:firstLineChars="200"/>
        <w:jc w:val="both"/>
        <w:rPr>
          <w:rFonts w:ascii="Times New Roman" w:hAnsi="Times New Roman" w:eastAsia="仿宋_GB2312"/>
          <w:kern w:val="2"/>
          <w:highlight w:val="none"/>
        </w:rPr>
      </w:pPr>
      <w:r>
        <w:rPr>
          <w:rFonts w:ascii="Times New Roman" w:hAnsi="Times New Roman" w:eastAsia="仿宋_GB2312"/>
          <w:kern w:val="2"/>
          <w:highlight w:val="none"/>
        </w:rPr>
        <w:t>项目主要内容：</w:t>
      </w:r>
    </w:p>
    <w:p>
      <w:pPr>
        <w:spacing w:line="560" w:lineRule="exact"/>
        <w:ind w:firstLine="640" w:firstLineChars="200"/>
        <w:rPr>
          <w:rFonts w:hint="default" w:ascii="仿宋_GB2312" w:eastAsia="仿宋_GB2312"/>
          <w:sz w:val="32"/>
          <w:szCs w:val="32"/>
          <w:highlight w:val="none"/>
          <w:lang w:val="en-US" w:eastAsia="zh-CN"/>
        </w:rPr>
      </w:pPr>
      <w:r>
        <w:rPr>
          <w:rFonts w:hint="eastAsia" w:eastAsia="仿宋_GB2312"/>
          <w:sz w:val="32"/>
          <w:szCs w:val="32"/>
          <w:highlight w:val="none"/>
          <w:lang w:val="en-US" w:eastAsia="zh-CN"/>
        </w:rPr>
        <w:t>本项目以</w:t>
      </w:r>
      <w:r>
        <w:rPr>
          <w:rFonts w:hint="eastAsia" w:ascii="仿宋_GB2312" w:eastAsia="仿宋_GB2312"/>
          <w:sz w:val="32"/>
          <w:szCs w:val="32"/>
          <w:highlight w:val="none"/>
          <w:lang w:eastAsia="zh-CN"/>
        </w:rPr>
        <w:t>《新疆维吾尔自治区人口与计划生育条例》</w:t>
      </w:r>
      <w:r>
        <w:rPr>
          <w:rFonts w:hint="eastAsia" w:ascii="仿宋_GB2312" w:eastAsia="仿宋_GB2312"/>
          <w:sz w:val="32"/>
          <w:szCs w:val="32"/>
          <w:highlight w:val="none"/>
          <w:lang w:val="en-US" w:eastAsia="zh-CN"/>
        </w:rPr>
        <w:t>为依据，确保单位职工基本生活保障，保证单位工作正常开展，圆满完成各项绩效目标考核。</w:t>
      </w:r>
    </w:p>
    <w:p>
      <w:pPr>
        <w:spacing w:line="60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9</w:t>
      </w:r>
      <w:r>
        <w:rPr>
          <w:rFonts w:eastAsia="仿宋_GB2312"/>
          <w:sz w:val="32"/>
          <w:szCs w:val="32"/>
          <w:highlight w:val="none"/>
        </w:rPr>
        <w:t>万元，其中：财政本级资金</w:t>
      </w:r>
      <w:r>
        <w:rPr>
          <w:rFonts w:hint="eastAsia" w:eastAsia="仿宋_GB2312"/>
          <w:sz w:val="32"/>
          <w:szCs w:val="32"/>
          <w:highlight w:val="none"/>
          <w:lang w:val="en-US" w:eastAsia="zh-CN"/>
        </w:rPr>
        <w:t>0</w:t>
      </w:r>
      <w:r>
        <w:rPr>
          <w:rFonts w:eastAsia="仿宋_GB2312"/>
          <w:sz w:val="32"/>
          <w:szCs w:val="32"/>
          <w:highlight w:val="none"/>
        </w:rPr>
        <w:t>万元。项目实际支出</w:t>
      </w:r>
      <w:r>
        <w:rPr>
          <w:rFonts w:hint="eastAsia" w:eastAsia="仿宋_GB2312"/>
          <w:sz w:val="32"/>
          <w:szCs w:val="32"/>
          <w:highlight w:val="none"/>
          <w:lang w:val="en-US" w:eastAsia="zh-CN"/>
        </w:rPr>
        <w:t>9</w:t>
      </w:r>
      <w:r>
        <w:rPr>
          <w:rFonts w:eastAsia="仿宋_GB2312"/>
          <w:sz w:val="32"/>
          <w:szCs w:val="32"/>
          <w:highlight w:val="none"/>
        </w:rPr>
        <w:t>万元，支出率为100%。</w:t>
      </w:r>
    </w:p>
    <w:p>
      <w:pPr>
        <w:spacing w:line="600" w:lineRule="exact"/>
        <w:ind w:firstLine="642"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rPr>
          <w:rFonts w:eastAsia="仿宋_GB2312"/>
          <w:sz w:val="20"/>
          <w:szCs w:val="20"/>
          <w:highlight w:val="none"/>
        </w:rPr>
      </w:pPr>
      <w:r>
        <w:rPr>
          <w:rFonts w:eastAsia="仿宋_GB2312"/>
          <w:sz w:val="32"/>
          <w:szCs w:val="32"/>
          <w:highlight w:val="none"/>
        </w:rPr>
        <w:t>（1）资金安排</w:t>
      </w:r>
    </w:p>
    <w:p>
      <w:pPr>
        <w:spacing w:line="60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9</w:t>
      </w:r>
      <w:r>
        <w:rPr>
          <w:rFonts w:eastAsia="仿宋_GB2312"/>
          <w:sz w:val="32"/>
          <w:szCs w:val="32"/>
          <w:highlight w:val="none"/>
        </w:rPr>
        <w:t>万元，按照单位财务制度等相关规定，资金支出符合</w:t>
      </w:r>
      <w:r>
        <w:rPr>
          <w:rFonts w:hint="eastAsia" w:eastAsia="仿宋_GB2312"/>
          <w:sz w:val="32"/>
          <w:szCs w:val="32"/>
          <w:highlight w:val="none"/>
          <w:lang w:val="en-US" w:eastAsia="zh-CN"/>
        </w:rPr>
        <w:t>9万元</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w:t>
      </w:r>
      <w:r>
        <w:rPr>
          <w:rFonts w:hint="eastAsia" w:eastAsia="仿宋_GB2312"/>
          <w:sz w:val="32"/>
          <w:szCs w:val="32"/>
          <w:highlight w:val="none"/>
          <w:lang w:val="en-US" w:eastAsia="zh-CN"/>
        </w:rPr>
        <w:t>弥补人员经费》项目</w:t>
      </w:r>
      <w:r>
        <w:rPr>
          <w:rFonts w:eastAsia="仿宋_GB2312"/>
          <w:sz w:val="32"/>
          <w:szCs w:val="32"/>
          <w:highlight w:val="none"/>
        </w:rPr>
        <w:t>资金的拨付程序，认真审核项目实施各阶段的相关材料和手续，根据项目实施进展情况拨付资金。</w:t>
      </w:r>
    </w:p>
    <w:p>
      <w:pPr>
        <w:spacing w:line="600" w:lineRule="exact"/>
        <w:ind w:firstLine="640" w:firstLineChars="200"/>
        <w:rPr>
          <w:rFonts w:eastAsia="仿宋_GB2312"/>
          <w:sz w:val="32"/>
          <w:szCs w:val="32"/>
          <w:highlight w:val="none"/>
        </w:rPr>
      </w:pPr>
      <w:r>
        <w:rPr>
          <w:rFonts w:eastAsia="仿宋_GB2312"/>
          <w:sz w:val="32"/>
          <w:szCs w:val="32"/>
          <w:highlight w:val="none"/>
        </w:rPr>
        <w:t>（2）预算资金来源及使用情况</w:t>
      </w:r>
      <w:bookmarkStart w:id="0" w:name="page10"/>
      <w:bookmarkEnd w:id="0"/>
    </w:p>
    <w:p>
      <w:pPr>
        <w:pStyle w:val="17"/>
        <w:spacing w:before="0" w:after="0" w:line="600" w:lineRule="exact"/>
        <w:ind w:firstLine="640" w:firstLineChars="200"/>
        <w:jc w:val="both"/>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val="en-US" w:eastAsia="zh-CN"/>
        </w:rPr>
        <w:t>非财政拨款-其他资金</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9</w:t>
      </w:r>
      <w:r>
        <w:rPr>
          <w:rFonts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rPr>
        <w:t>全年执行</w:t>
      </w:r>
      <w:r>
        <w:rPr>
          <w:rFonts w:hint="eastAsia" w:ascii="Times New Roman" w:hAnsi="Times New Roman" w:eastAsia="仿宋_GB2312"/>
          <w:b w:val="0"/>
          <w:bCs w:val="0"/>
          <w:kern w:val="2"/>
          <w:highlight w:val="none"/>
          <w:lang w:val="en-US" w:eastAsia="zh-CN"/>
        </w:rPr>
        <w:t>9</w:t>
      </w:r>
      <w:r>
        <w:rPr>
          <w:rFonts w:hint="eastAsia" w:ascii="Times New Roman" w:hAnsi="Times New Roman" w:eastAsia="仿宋_GB2312"/>
          <w:b w:val="0"/>
          <w:bCs w:val="0"/>
          <w:kern w:val="2"/>
          <w:highlight w:val="none"/>
        </w:rPr>
        <w:t>万元，预算执行率为</w:t>
      </w:r>
      <w:r>
        <w:rPr>
          <w:rFonts w:hint="eastAsia" w:ascii="Times New Roman" w:hAnsi="Times New Roman" w:eastAsia="仿宋_GB2312"/>
          <w:b w:val="0"/>
          <w:bCs w:val="0"/>
          <w:kern w:val="2"/>
          <w:highlight w:val="none"/>
          <w:lang w:val="en-US" w:eastAsia="zh-CN"/>
        </w:rPr>
        <w:t>100</w:t>
      </w:r>
      <w:r>
        <w:rPr>
          <w:rFonts w:ascii="Times New Roman" w:hAnsi="Times New Roman" w:eastAsia="仿宋_GB2312"/>
          <w:b w:val="0"/>
          <w:bCs w:val="0"/>
          <w:kern w:val="2"/>
          <w:highlight w:val="none"/>
        </w:rPr>
        <w:t>%,</w:t>
      </w:r>
      <w:r>
        <w:rPr>
          <w:rFonts w:hint="eastAsia" w:ascii="Times New Roman" w:hAnsi="Times New Roman" w:eastAsia="仿宋_GB2312"/>
          <w:b w:val="0"/>
          <w:bCs w:val="0"/>
          <w:kern w:val="2"/>
          <w:highlight w:val="none"/>
        </w:rPr>
        <w:t>主要</w:t>
      </w:r>
      <w:r>
        <w:rPr>
          <w:rFonts w:ascii="Times New Roman" w:hAnsi="Times New Roman" w:eastAsia="仿宋_GB2312"/>
          <w:b w:val="0"/>
          <w:bCs w:val="0"/>
          <w:kern w:val="2"/>
          <w:highlight w:val="none"/>
        </w:rPr>
        <w:t>用于支付项目实施进程中的各项费用。</w:t>
      </w:r>
    </w:p>
    <w:p>
      <w:pPr>
        <w:spacing w:line="600" w:lineRule="exact"/>
        <w:ind w:firstLine="642" w:firstLineChars="200"/>
        <w:rPr>
          <w:rFonts w:eastAsia="楷体_GB2312"/>
          <w:b/>
          <w:bCs/>
          <w:sz w:val="32"/>
          <w:szCs w:val="32"/>
          <w:highlight w:val="none"/>
        </w:rPr>
      </w:pPr>
      <w:r>
        <w:rPr>
          <w:rFonts w:eastAsia="楷体_GB2312"/>
          <w:b/>
          <w:bCs/>
          <w:sz w:val="32"/>
          <w:szCs w:val="32"/>
          <w:highlight w:val="none"/>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hint="eastAsia" w:ascii="仿宋_GB2312" w:hAnsi="Calibri" w:eastAsia="仿宋_GB2312" w:cs="Times New Roman"/>
          <w:sz w:val="32"/>
          <w:szCs w:val="32"/>
          <w:lang w:val="en-US" w:eastAsia="zh-Hans"/>
        </w:rPr>
      </w:pPr>
      <w:r>
        <w:rPr>
          <w:rFonts w:hint="eastAsia" w:ascii="仿宋_GB2312" w:hAnsi="Calibri" w:eastAsia="仿宋_GB2312" w:cs="Times New Roman"/>
          <w:sz w:val="32"/>
          <w:szCs w:val="32"/>
          <w:lang w:eastAsia="zh-CN"/>
        </w:rPr>
        <w:t>确保单位职工基本生活保障，保证单位工作正常开展，圆满完成各项绩效目标考核。</w:t>
      </w:r>
      <w:r>
        <w:rPr>
          <w:rFonts w:hint="eastAsia" w:ascii="仿宋_GB2312" w:hAnsi="Calibri" w:eastAsia="仿宋_GB2312" w:cs="Times New Roman"/>
          <w:sz w:val="32"/>
          <w:szCs w:val="32"/>
          <w:lang w:val="en-US" w:eastAsia="zh-Hans"/>
        </w:rPr>
        <w:t>目标：资金发放</w:t>
      </w:r>
      <w:r>
        <w:rPr>
          <w:rFonts w:hint="eastAsia" w:ascii="仿宋_GB2312" w:hAnsi="Calibri" w:eastAsia="仿宋_GB2312" w:cs="Times New Roman"/>
          <w:sz w:val="32"/>
          <w:szCs w:val="32"/>
          <w:lang w:val="en-US" w:eastAsia="zh-CN"/>
        </w:rPr>
        <w:t>19</w:t>
      </w:r>
      <w:r>
        <w:rPr>
          <w:rFonts w:hint="eastAsia" w:ascii="仿宋_GB2312" w:hAnsi="Calibri" w:eastAsia="仿宋_GB2312" w:cs="Times New Roman"/>
          <w:sz w:val="32"/>
          <w:szCs w:val="32"/>
          <w:lang w:val="en-US" w:eastAsia="zh-Hans"/>
        </w:rPr>
        <w:t>人；全年发放</w:t>
      </w:r>
      <w:r>
        <w:rPr>
          <w:rFonts w:hint="eastAsia" w:ascii="仿宋_GB2312" w:hAnsi="Calibri" w:eastAsia="仿宋_GB2312" w:cs="Times New Roman"/>
          <w:sz w:val="32"/>
          <w:szCs w:val="32"/>
          <w:lang w:val="en-US" w:eastAsia="zh-CN"/>
        </w:rPr>
        <w:t>4</w:t>
      </w:r>
      <w:r>
        <w:rPr>
          <w:rFonts w:hint="eastAsia" w:ascii="仿宋_GB2312" w:hAnsi="Calibri" w:eastAsia="仿宋_GB2312" w:cs="Times New Roman"/>
          <w:sz w:val="32"/>
          <w:szCs w:val="32"/>
          <w:lang w:val="en-US" w:eastAsia="zh-Hans"/>
        </w:rPr>
        <w:t>次；资金发放的准确率达到</w:t>
      </w:r>
      <w:r>
        <w:rPr>
          <w:rFonts w:hint="default" w:ascii="仿宋_GB2312" w:hAnsi="Calibri" w:eastAsia="仿宋_GB2312" w:cs="Times New Roman"/>
          <w:sz w:val="32"/>
          <w:szCs w:val="32"/>
          <w:lang w:eastAsia="zh-Hans"/>
        </w:rPr>
        <w:t>100%</w:t>
      </w:r>
      <w:r>
        <w:rPr>
          <w:rFonts w:hint="eastAsia" w:ascii="仿宋_GB2312" w:hAnsi="Calibri" w:eastAsia="仿宋_GB2312" w:cs="Times New Roman"/>
          <w:sz w:val="32"/>
          <w:szCs w:val="32"/>
          <w:lang w:eastAsia="zh-Hans"/>
        </w:rPr>
        <w:t>；</w:t>
      </w:r>
      <w:r>
        <w:rPr>
          <w:rFonts w:hint="eastAsia" w:ascii="仿宋_GB2312" w:hAnsi="Calibri" w:eastAsia="仿宋_GB2312" w:cs="Times New Roman"/>
          <w:sz w:val="32"/>
          <w:szCs w:val="32"/>
          <w:lang w:val="en-US" w:eastAsia="zh-Hans"/>
        </w:rPr>
        <w:t>资金发放的及时率达到</w:t>
      </w:r>
      <w:r>
        <w:rPr>
          <w:rFonts w:hint="default" w:ascii="仿宋_GB2312" w:hAnsi="Calibri" w:eastAsia="仿宋_GB2312" w:cs="Times New Roman"/>
          <w:sz w:val="32"/>
          <w:szCs w:val="32"/>
          <w:lang w:eastAsia="zh-Hans"/>
        </w:rPr>
        <w:t>100%</w:t>
      </w:r>
      <w:r>
        <w:rPr>
          <w:rFonts w:hint="eastAsia" w:ascii="仿宋_GB2312" w:hAnsi="Calibri" w:eastAsia="仿宋_GB2312" w:cs="Times New Roman"/>
          <w:sz w:val="32"/>
          <w:szCs w:val="32"/>
          <w:lang w:eastAsia="zh-Hans"/>
        </w:rPr>
        <w:t>；</w:t>
      </w:r>
      <w:r>
        <w:rPr>
          <w:rFonts w:hint="eastAsia" w:ascii="仿宋_GB2312" w:hAnsi="Calibri" w:eastAsia="仿宋_GB2312" w:cs="Times New Roman"/>
          <w:sz w:val="32"/>
          <w:szCs w:val="32"/>
          <w:lang w:val="en-US" w:eastAsia="zh-Hans"/>
        </w:rPr>
        <w:t>每次发放资金数不超过</w:t>
      </w:r>
      <w:r>
        <w:rPr>
          <w:rFonts w:hint="eastAsia" w:ascii="仿宋_GB2312" w:hAnsi="Calibri" w:eastAsia="仿宋_GB2312" w:cs="Times New Roman"/>
          <w:sz w:val="32"/>
          <w:szCs w:val="32"/>
          <w:lang w:val="en-US" w:eastAsia="zh-CN"/>
        </w:rPr>
        <w:t>2.5</w:t>
      </w:r>
      <w:r>
        <w:rPr>
          <w:rFonts w:hint="eastAsia" w:ascii="仿宋_GB2312" w:hAnsi="Calibri" w:eastAsia="仿宋_GB2312" w:cs="Times New Roman"/>
          <w:sz w:val="32"/>
          <w:szCs w:val="32"/>
          <w:lang w:val="en-US" w:eastAsia="zh-Hans"/>
        </w:rPr>
        <w:t>万元；有效保障职工基本生活；职工满意度达到</w:t>
      </w:r>
      <w:r>
        <w:rPr>
          <w:rFonts w:hint="default" w:ascii="仿宋_GB2312" w:hAnsi="Calibri" w:eastAsia="仿宋_GB2312" w:cs="Times New Roman"/>
          <w:sz w:val="32"/>
          <w:szCs w:val="32"/>
          <w:lang w:eastAsia="zh-Hans"/>
        </w:rPr>
        <w:t>95%</w:t>
      </w:r>
      <w:r>
        <w:rPr>
          <w:rFonts w:hint="eastAsia" w:ascii="仿宋_GB2312" w:hAnsi="Calibri" w:eastAsia="仿宋_GB2312" w:cs="Times New Roman"/>
          <w:sz w:val="32"/>
          <w:szCs w:val="32"/>
          <w:lang w:val="en-US" w:eastAsia="zh-Hans"/>
        </w:rPr>
        <w:t>以上（包含</w:t>
      </w:r>
      <w:r>
        <w:rPr>
          <w:rFonts w:hint="default" w:ascii="仿宋_GB2312" w:hAnsi="Calibri" w:eastAsia="仿宋_GB2312" w:cs="Times New Roman"/>
          <w:sz w:val="32"/>
          <w:szCs w:val="32"/>
          <w:lang w:eastAsia="zh-Hans"/>
        </w:rPr>
        <w:t>95%</w:t>
      </w:r>
      <w:r>
        <w:rPr>
          <w:rFonts w:hint="eastAsia" w:ascii="仿宋_GB2312" w:hAnsi="Calibri" w:eastAsia="仿宋_GB2312" w:cs="Times New Roman"/>
          <w:sz w:val="32"/>
          <w:szCs w:val="32"/>
          <w:lang w:val="en-US" w:eastAsia="zh-Hans"/>
        </w:rPr>
        <w:t>）。</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2" w:firstLineChars="200"/>
        <w:rPr>
          <w:rFonts w:eastAsia="楷体_GB2312"/>
          <w:b/>
          <w:bCs/>
          <w:sz w:val="32"/>
          <w:szCs w:val="32"/>
        </w:rPr>
      </w:pPr>
      <w:r>
        <w:rPr>
          <w:rFonts w:eastAsia="楷体_GB2312"/>
          <w:b/>
          <w:bCs/>
          <w:sz w:val="32"/>
          <w:szCs w:val="32"/>
        </w:rPr>
        <w:t>（一）绩效评价目的、对象和范围</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7"/>
        <w:widowControl w:val="0"/>
        <w:spacing w:before="0" w:after="0" w:line="60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rPr>
        <w:t>2</w:t>
      </w:r>
      <w:r>
        <w:rPr>
          <w:rFonts w:ascii="Times New Roman" w:hAnsi="Times New Roman" w:eastAsia="仿宋_GB2312"/>
          <w:b w:val="0"/>
          <w:bCs w:val="0"/>
          <w:highlight w:val="none"/>
        </w:rPr>
        <w:t>、绩效评价的对象</w:t>
      </w:r>
    </w:p>
    <w:p>
      <w:pPr>
        <w:spacing w:line="576"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弥补人员经费》</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主要是以</w:t>
      </w:r>
      <w:r>
        <w:rPr>
          <w:rFonts w:hint="eastAsia" w:ascii="仿宋_GB2312" w:hAnsi="仿宋_GB2312" w:eastAsia="仿宋_GB2312" w:cs="仿宋_GB2312"/>
          <w:color w:val="auto"/>
          <w:sz w:val="32"/>
          <w:szCs w:val="32"/>
          <w:highlight w:val="none"/>
        </w:rPr>
        <w:t>《新疆维吾尔自治区人口与计划生育条例》</w:t>
      </w:r>
      <w:r>
        <w:rPr>
          <w:rFonts w:hint="eastAsia" w:ascii="仿宋_GB2312" w:hAnsi="仿宋_GB2312" w:eastAsia="仿宋_GB2312" w:cs="仿宋_GB2312"/>
          <w:color w:val="auto"/>
          <w:sz w:val="32"/>
          <w:szCs w:val="32"/>
          <w:highlight w:val="none"/>
          <w:lang w:val="en-US" w:eastAsia="zh-CN"/>
        </w:rPr>
        <w:t>的规定，按照工资百分之五的奖励金，按月发放退休人员独生子女奖励金</w:t>
      </w:r>
      <w:r>
        <w:rPr>
          <w:rFonts w:hint="eastAsia" w:ascii="仿宋_GB2312" w:hAnsi="仿宋_GB2312" w:eastAsia="仿宋_GB2312" w:cs="仿宋_GB2312"/>
          <w:color w:val="auto"/>
          <w:sz w:val="32"/>
          <w:szCs w:val="32"/>
          <w:highlight w:val="none"/>
        </w:rPr>
        <w:t>。</w:t>
      </w:r>
    </w:p>
    <w:p>
      <w:pPr>
        <w:pStyle w:val="17"/>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pPr>
        <w:spacing w:line="576" w:lineRule="exact"/>
        <w:ind w:firstLine="640" w:firstLineChars="200"/>
        <w:rPr>
          <w:rFonts w:hint="eastAsia" w:ascii="仿宋_GB2312" w:hAnsi="仿宋_GB2312" w:eastAsia="仿宋_GB2312" w:cs="仿宋_GB2312"/>
          <w:sz w:val="32"/>
          <w:szCs w:val="32"/>
          <w:highlight w:val="yellow"/>
        </w:rPr>
      </w:pPr>
      <w:r>
        <w:rPr>
          <w:rFonts w:hint="eastAsia" w:eastAsia="仿宋_GB2312"/>
          <w:sz w:val="32"/>
          <w:szCs w:val="32"/>
          <w:lang w:eastAsia="zh-CN"/>
        </w:rPr>
        <w:t>《</w:t>
      </w:r>
      <w:r>
        <w:rPr>
          <w:rFonts w:hint="eastAsia" w:eastAsia="仿宋_GB2312"/>
          <w:sz w:val="32"/>
          <w:szCs w:val="32"/>
          <w:lang w:val="en-US" w:eastAsia="zh-CN"/>
        </w:rPr>
        <w:t>弥补人员经费</w:t>
      </w:r>
      <w:r>
        <w:rPr>
          <w:rFonts w:hint="eastAsia" w:eastAsia="仿宋_GB2312"/>
          <w:sz w:val="32"/>
          <w:szCs w:val="32"/>
          <w:lang w:eastAsia="zh-CN"/>
        </w:rPr>
        <w:t>》项目</w:t>
      </w:r>
      <w:r>
        <w:rPr>
          <w:rStyle w:val="23"/>
          <w:rFonts w:hint="default" w:ascii="Times New Roman" w:hAnsi="Times New Roman" w:eastAsia="仿宋_GB2312" w:cs="Times New Roman"/>
          <w:b w:val="0"/>
          <w:spacing w:val="-4"/>
          <w:kern w:val="2"/>
          <w:sz w:val="32"/>
          <w:szCs w:val="32"/>
          <w:lang w:val="en-US" w:eastAsia="zh-CN" w:bidi="ar-SA"/>
        </w:rPr>
        <w:t>经费下达后，我室根据预算制定了详细的实施计划，分配项目经费，落实到项目负责人和分管监督领导。每个费用在实际执行中，并把成本控制在年初的预算范围内，确保资金使用的安全性与科学性。该项目的每个费用都很好地按照预算执行，没有超出预算范围。</w:t>
      </w:r>
      <w:r>
        <w:rPr>
          <w:rFonts w:hint="default" w:eastAsia="仿宋_GB2312"/>
          <w:sz w:val="32"/>
          <w:szCs w:val="32"/>
          <w:lang w:val="en-US" w:eastAsia="zh-CN"/>
        </w:rPr>
        <w:t>产出指标设置有数量指标、质量指标、时效指标，适合项目实施应具备的条件，与评价对象密切相关，全面反映项目决策、项目资金使用方向和资金管理的核心指标。</w:t>
      </w:r>
    </w:p>
    <w:p>
      <w:pPr>
        <w:spacing w:line="600" w:lineRule="exact"/>
        <w:ind w:firstLine="642" w:firstLineChars="200"/>
      </w:pPr>
      <w:r>
        <w:rPr>
          <w:rFonts w:eastAsia="楷体_GB2312"/>
          <w:b/>
          <w:bCs/>
          <w:sz w:val="32"/>
          <w:szCs w:val="32"/>
        </w:rPr>
        <w:t>（二）绩效评价原则、评价指标体系（详情见表1）、评价方法、评价标准。</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7"/>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7"/>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17"/>
        <w:numPr>
          <w:ilvl w:val="0"/>
          <w:numId w:val="3"/>
        </w:numPr>
        <w:spacing w:before="0" w:after="0" w:line="60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pPr>
        <w:pStyle w:val="17"/>
        <w:widowControl w:val="0"/>
        <w:spacing w:before="0" w:after="0" w:line="60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弥补人员经费》</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w:t>
      </w:r>
    </w:p>
    <w:p>
      <w:pPr>
        <w:pStyle w:val="17"/>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pageBreakBefore w:val="0"/>
              <w:widowControl/>
              <w:kinsoku/>
              <w:wordWrap/>
              <w:overflowPunct/>
              <w:topLinePunct w:val="0"/>
              <w:autoSpaceDE/>
              <w:autoSpaceDN/>
              <w:bidi w:val="0"/>
              <w:adjustRightInd/>
              <w:snapToGrid/>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决策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立项依据</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充分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立项程序</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规范</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绩效指标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明确</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预算编制</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科学</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资金分配</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过程</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资金使用</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合格</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管理制度</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健全</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制度执行</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及时</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default"/>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实施效益</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95</w:t>
            </w:r>
            <w:r>
              <w:rPr>
                <w:rFonts w:hint="eastAsia"/>
                <w:color w:val="000000"/>
                <w:kern w:val="0"/>
                <w:sz w:val="22"/>
                <w:szCs w:val="22"/>
              </w:rPr>
              <w:t>%</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95</w:t>
            </w:r>
            <w:r>
              <w:rPr>
                <w:rFonts w:hint="eastAsia"/>
                <w:color w:val="000000"/>
                <w:kern w:val="0"/>
                <w:sz w:val="22"/>
                <w:szCs w:val="22"/>
              </w:rPr>
              <w:t>%</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17"/>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7"/>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项目严格按照预期绩效目标执行预算资金。项目资金使用</w:t>
      </w:r>
      <w:r>
        <w:rPr>
          <w:rFonts w:hint="eastAsia" w:ascii="仿宋_GB2312" w:hAnsi="仿宋_GB2312" w:eastAsia="仿宋_GB2312" w:cs="仿宋_GB2312"/>
          <w:sz w:val="32"/>
          <w:szCs w:val="32"/>
          <w:highlight w:val="none"/>
        </w:rPr>
        <w:t>符合相关的财务管理制度规定，能够反映和考核项目资金的规范运行情况；项目实施单位的财务和业务管理制度健全，能够反映和考核财务和业务管理制度对项目顺利实施的保障情况。</w:t>
      </w:r>
    </w:p>
    <w:p>
      <w:pPr>
        <w:pStyle w:val="17"/>
        <w:ind w:firstLine="321" w:firstLineChars="100"/>
        <w:jc w:val="both"/>
        <w:rPr>
          <w:rFonts w:ascii="Times New Roman" w:hAnsi="Times New Roman" w:eastAsia="楷体_GB2312"/>
          <w:highlight w:val="none"/>
        </w:rPr>
      </w:pPr>
      <w:r>
        <w:rPr>
          <w:rFonts w:hint="eastAsia" w:ascii="Times New Roman" w:hAnsi="Times New Roman" w:eastAsia="楷体_GB2312"/>
          <w:highlight w:val="none"/>
        </w:rPr>
        <w:t>（三）</w:t>
      </w:r>
      <w:r>
        <w:rPr>
          <w:rFonts w:ascii="Times New Roman" w:hAnsi="Times New Roman" w:eastAsia="楷体_GB2312"/>
          <w:highlight w:val="none"/>
        </w:rPr>
        <w:t>项目产出</w:t>
      </w:r>
    </w:p>
    <w:p>
      <w:pPr>
        <w:spacing w:line="600" w:lineRule="exact"/>
        <w:ind w:firstLine="624" w:firstLineChars="200"/>
        <w:rPr>
          <w:rStyle w:val="23"/>
          <w:rFonts w:eastAsia="仿宋"/>
          <w:b w:val="0"/>
          <w:spacing w:val="-4"/>
          <w:sz w:val="32"/>
          <w:szCs w:val="32"/>
          <w:highlight w:val="none"/>
        </w:rPr>
      </w:pPr>
      <w:r>
        <w:rPr>
          <w:rStyle w:val="23"/>
          <w:rFonts w:eastAsia="仿宋"/>
          <w:b w:val="0"/>
          <w:spacing w:val="-4"/>
          <w:sz w:val="32"/>
          <w:szCs w:val="32"/>
          <w:highlight w:val="none"/>
        </w:rPr>
        <w:t>数量指标方面：</w:t>
      </w:r>
    </w:p>
    <w:p>
      <w:pPr>
        <w:pStyle w:val="17"/>
        <w:numPr>
          <w:ilvl w:val="0"/>
          <w:numId w:val="6"/>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发放人数指标，指标值为19人，实际完成19人，完成率100%，偏差率0%，偏差原因是无。</w:t>
      </w:r>
    </w:p>
    <w:p>
      <w:pPr>
        <w:pStyle w:val="17"/>
        <w:numPr>
          <w:ilvl w:val="0"/>
          <w:numId w:val="6"/>
        </w:numPr>
        <w:ind w:firstLine="640" w:firstLineChars="200"/>
        <w:jc w:val="left"/>
        <w:rPr>
          <w:rFonts w:hint="eastAsia"/>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发放次数指标，指标值为4次，实际完成4次，完成率100%，偏差率0%，偏差原因是无。</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质量指标方面：</w:t>
      </w:r>
      <w:r>
        <w:rPr>
          <w:rFonts w:hint="eastAsia" w:ascii="仿宋_GB2312" w:hAnsi="仿宋_GB2312" w:eastAsia="仿宋_GB2312" w:cs="仿宋_GB2312"/>
          <w:b w:val="0"/>
          <w:bCs w:val="0"/>
          <w:kern w:val="2"/>
          <w:sz w:val="32"/>
          <w:szCs w:val="32"/>
          <w:highlight w:val="none"/>
          <w:lang w:val="en-US" w:eastAsia="zh-CN" w:bidi="ar-SA"/>
        </w:rPr>
        <w:t>资金发放准确率指标，指标值为100%，实际完成100%，完成率100%，偏差率0%，偏差原因是无。</w:t>
      </w:r>
    </w:p>
    <w:p>
      <w:pPr>
        <w:pStyle w:val="17"/>
        <w:spacing w:before="0" w:after="0" w:line="600" w:lineRule="exact"/>
        <w:ind w:firstLine="640" w:firstLineChars="200"/>
        <w:jc w:val="both"/>
        <w:rPr>
          <w:highlight w:val="none"/>
        </w:rPr>
      </w:pPr>
      <w:r>
        <w:rPr>
          <w:rStyle w:val="52"/>
          <w:rFonts w:ascii="Times New Roman" w:hAnsi="Times New Roman" w:cs="Times New Roman"/>
          <w:b w:val="0"/>
          <w:bCs w:val="0"/>
          <w:color w:val="auto"/>
          <w:highlight w:val="none"/>
        </w:rPr>
        <w:t>成本指标方面：</w:t>
      </w:r>
      <w:r>
        <w:rPr>
          <w:rStyle w:val="52"/>
          <w:rFonts w:hint="eastAsia" w:cs="Times New Roman"/>
          <w:b w:val="0"/>
          <w:bCs w:val="0"/>
          <w:color w:val="auto"/>
          <w:kern w:val="2"/>
          <w:highlight w:val="none"/>
          <w:lang w:val="en-US" w:eastAsia="zh-CN" w:bidi="ar-SA"/>
        </w:rPr>
        <w:t>每次发放资金数指标，指标值为&lt;=2.25万元，实际完成100%，完成率100%，偏差率0%，偏差原因是无。</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时效指标方面：</w:t>
      </w:r>
      <w:r>
        <w:rPr>
          <w:rStyle w:val="52"/>
          <w:rFonts w:hint="eastAsia" w:eastAsia="仿宋_GB2312" w:cs="Times New Roman"/>
          <w:color w:val="auto"/>
          <w:highlight w:val="none"/>
          <w:lang w:eastAsia="zh-CN"/>
        </w:rPr>
        <w:t>资金发放及时率指标，指标值为100%，实际完成100%，完成率100%，偏差率0%，偏差原因是无。</w:t>
      </w:r>
    </w:p>
    <w:p>
      <w:pPr>
        <w:pStyle w:val="17"/>
        <w:ind w:firstLine="321" w:firstLineChars="100"/>
        <w:jc w:val="both"/>
        <w:rPr>
          <w:rFonts w:ascii="Times New Roman" w:hAnsi="Times New Roman"/>
          <w:highlight w:val="none"/>
        </w:rPr>
      </w:pPr>
      <w:r>
        <w:rPr>
          <w:rFonts w:hint="eastAsia" w:ascii="Times New Roman" w:hAnsi="Times New Roman" w:eastAsia="楷体_GB2312"/>
          <w:highlight w:val="none"/>
        </w:rPr>
        <w:t>（四）</w:t>
      </w:r>
      <w:r>
        <w:rPr>
          <w:rFonts w:ascii="Times New Roman" w:hAnsi="Times New Roman" w:eastAsia="楷体_GB2312"/>
          <w:highlight w:val="none"/>
        </w:rPr>
        <w:t>效益情况</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社会效益指标方面：</w:t>
      </w:r>
      <w:r>
        <w:rPr>
          <w:rStyle w:val="52"/>
          <w:rFonts w:hint="eastAsia" w:eastAsia="仿宋_GB2312" w:cs="Times New Roman"/>
          <w:color w:val="auto"/>
          <w:highlight w:val="none"/>
          <w:lang w:eastAsia="zh-CN"/>
        </w:rPr>
        <w:t>保障单位职工基本生活指标，指标值为有效保障，实际完成有效保障，完成率100%，偏差率0%，偏差原因是无。</w:t>
      </w:r>
    </w:p>
    <w:p>
      <w:pPr>
        <w:spacing w:line="600" w:lineRule="exact"/>
        <w:ind w:firstLine="640" w:firstLineChars="200"/>
        <w:rPr>
          <w:rStyle w:val="52"/>
          <w:rFonts w:hint="eastAsia" w:eastAsia="仿宋_GB2312" w:cs="Times New Roman"/>
          <w:color w:val="auto"/>
          <w:highlight w:val="none"/>
          <w:lang w:eastAsia="zh-CN"/>
        </w:rPr>
      </w:pPr>
      <w:r>
        <w:rPr>
          <w:rStyle w:val="52"/>
          <w:rFonts w:ascii="Times New Roman" w:hAnsi="Times New Roman" w:cs="Times New Roman"/>
          <w:color w:val="auto"/>
          <w:highlight w:val="none"/>
        </w:rPr>
        <w:t>满意度指标方面：</w:t>
      </w:r>
      <w:r>
        <w:rPr>
          <w:rStyle w:val="52"/>
          <w:rFonts w:hint="eastAsia" w:eastAsia="仿宋_GB2312" w:cs="Times New Roman"/>
          <w:color w:val="auto"/>
          <w:highlight w:val="none"/>
          <w:lang w:eastAsia="zh-CN"/>
        </w:rPr>
        <w:t>职工满意度指标，指标值为&gt;=95%，实际完成</w:t>
      </w:r>
      <w:r>
        <w:rPr>
          <w:rStyle w:val="52"/>
          <w:rFonts w:hint="eastAsia" w:eastAsia="仿宋_GB2312" w:cs="Times New Roman"/>
          <w:color w:val="auto"/>
          <w:highlight w:val="none"/>
          <w:lang w:val="en-US" w:eastAsia="zh-CN"/>
        </w:rPr>
        <w:t>95%</w:t>
      </w:r>
      <w:r>
        <w:rPr>
          <w:rStyle w:val="52"/>
          <w:rFonts w:hint="eastAsia" w:eastAsia="仿宋_GB2312" w:cs="Times New Roman"/>
          <w:color w:val="auto"/>
          <w:highlight w:val="none"/>
          <w:lang w:eastAsia="zh-CN"/>
        </w:rPr>
        <w:t>，完成率100%，偏差率0%，偏差原因是无。</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6"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7"/>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600" w:lineRule="exact"/>
        <w:ind w:firstLine="642"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rPr>
          <w:rFonts w:hint="default" w:ascii="仿宋_GB2312" w:hAnsi="仿宋_GB2312" w:eastAsia="仿宋_GB2312" w:cs="仿宋_GB2312"/>
          <w:color w:val="auto"/>
          <w:sz w:val="32"/>
          <w:szCs w:val="28"/>
          <w:highlight w:val="none"/>
          <w:lang w:val="en-US" w:eastAsia="zh-CN"/>
        </w:rPr>
      </w:pPr>
      <w:r>
        <w:rPr>
          <w:rFonts w:hint="eastAsia" w:ascii="仿宋_GB2312" w:hAnsi="仿宋_GB2312" w:eastAsia="仿宋_GB2312" w:cs="仿宋_GB2312"/>
          <w:sz w:val="32"/>
          <w:szCs w:val="28"/>
          <w:highlight w:val="none"/>
        </w:rPr>
        <w:t>存在的问题及原因分析：</w:t>
      </w:r>
      <w:r>
        <w:rPr>
          <w:rFonts w:hint="eastAsia" w:ascii="仿宋_GB2312" w:hAnsi="仿宋_GB2312" w:eastAsia="仿宋_GB2312" w:cs="仿宋_GB2312"/>
          <w:color w:val="auto"/>
          <w:sz w:val="32"/>
          <w:szCs w:val="28"/>
          <w:highlight w:val="none"/>
        </w:rPr>
        <w:t>依据《新疆维吾尔自治区人口与计划生育条例》规定，</w:t>
      </w:r>
      <w:r>
        <w:rPr>
          <w:rFonts w:hint="eastAsia" w:ascii="仿宋_GB2312" w:hAnsi="仿宋_GB2312" w:eastAsia="仿宋_GB2312" w:cs="仿宋_GB2312"/>
          <w:color w:val="auto"/>
          <w:sz w:val="32"/>
          <w:szCs w:val="28"/>
          <w:highlight w:val="none"/>
          <w:lang w:val="en-US" w:eastAsia="zh-CN"/>
        </w:rPr>
        <w:t>按照退休前一个月</w:t>
      </w:r>
      <w:r>
        <w:rPr>
          <w:rFonts w:hint="eastAsia" w:ascii="仿宋_GB2312" w:hAnsi="仿宋_GB2312" w:eastAsia="仿宋_GB2312" w:cs="仿宋_GB2312"/>
          <w:color w:val="auto"/>
          <w:sz w:val="32"/>
          <w:szCs w:val="28"/>
          <w:highlight w:val="none"/>
        </w:rPr>
        <w:t>工资百分之五的奖励金</w:t>
      </w:r>
      <w:r>
        <w:rPr>
          <w:rFonts w:hint="eastAsia" w:ascii="仿宋_GB2312" w:hAnsi="仿宋_GB2312" w:eastAsia="仿宋_GB2312" w:cs="仿宋_GB2312"/>
          <w:color w:val="auto"/>
          <w:sz w:val="32"/>
          <w:szCs w:val="28"/>
          <w:highlight w:val="none"/>
          <w:lang w:val="en-US" w:eastAsia="zh-CN"/>
        </w:rPr>
        <w:t>发放，故资金发放及时率还有待加强。</w:t>
      </w:r>
    </w:p>
    <w:p>
      <w:pPr>
        <w:numPr>
          <w:ilvl w:val="0"/>
          <w:numId w:val="8"/>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8"/>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19"/>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rPr>
        <w:t>无</w:t>
      </w:r>
    </w:p>
    <w:p>
      <w:pPr>
        <w:pStyle w:val="17"/>
        <w:jc w:val="both"/>
        <w:rPr>
          <w:rFonts w:ascii="Times New Roman" w:hAnsi="Times New Roman" w:eastAsia="黑体"/>
          <w:b w:val="0"/>
          <w:bCs w:val="0"/>
        </w:rPr>
      </w:pPr>
    </w:p>
    <w:tbl>
      <w:tblPr>
        <w:tblStyle w:val="20"/>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980"/>
        <w:gridCol w:w="1112"/>
        <w:gridCol w:w="730"/>
        <w:gridCol w:w="1134"/>
        <w:gridCol w:w="1178"/>
        <w:gridCol w:w="1547"/>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80" w:type="dxa"/>
            <w:gridSpan w:val="8"/>
            <w:tcBorders>
              <w:tl2br w:val="nil"/>
              <w:tr2bl w:val="nil"/>
            </w:tcBorders>
            <w:vAlign w:val="center"/>
          </w:tcPr>
          <w:p>
            <w:pPr>
              <w:widowControl/>
              <w:spacing w:line="320" w:lineRule="exact"/>
              <w:jc w:val="left"/>
              <w:rPr>
                <w:rFonts w:hint="default" w:ascii="宋体" w:hAnsi="宋体" w:eastAsia="宋体" w:cs="宋体"/>
                <w:b/>
                <w:bCs/>
                <w:kern w:val="0"/>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80" w:type="dxa"/>
            <w:gridSpan w:val="8"/>
            <w:tcBorders>
              <w:tl2br w:val="nil"/>
              <w:tr2bl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9080" w:type="dxa"/>
            <w:gridSpan w:val="8"/>
            <w:tcBorders>
              <w:tl2br w:val="nil"/>
              <w:tr2bl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6"/>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弥补人员经费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56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54" w:type="dxa"/>
            <w:gridSpan w:val="4"/>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自治区畜牧兽医局</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自治区畜牧兽医局畜牧科技资料编译室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547"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811"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547"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34" w:type="dxa"/>
            <w:gridSpan w:val="5"/>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5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5134" w:type="dxa"/>
            <w:gridSpan w:val="5"/>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确保单位职工基本生活保障，保证单位工作正常开展，圆满完成各项绩效目标考核。目标：资金发放19人；全年发放4次；资金发放的准确率达到100%；资金发放的及时率达到100%；每次发放资金数不超过2.25万元；有效保障职工基本生活；职工满意度达到95%以上（包含95%）。</w:t>
            </w:r>
          </w:p>
        </w:tc>
        <w:tc>
          <w:tcPr>
            <w:tcW w:w="335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确保单位职工基本生活保障，保证单位工作正常开展，圆满完成各项绩效目标考核。目标：资金发放19人；全年发放4次；资金发放的准确率达到100%；资金发放的及时率达到100%；每次发放资金数不超过2.25万元；有效保障职工基本生活；职工满意度达到95%以上（包含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588"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864"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发放人数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=19人</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19人</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发放次数</w:t>
            </w:r>
          </w:p>
        </w:tc>
        <w:tc>
          <w:tcPr>
            <w:tcW w:w="1178"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资金发放准确率</w:t>
            </w:r>
          </w:p>
        </w:tc>
        <w:tc>
          <w:tcPr>
            <w:tcW w:w="1178"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资金发放及时率</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每次发放资金数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&lt;=2.25万元</w:t>
            </w:r>
          </w:p>
        </w:tc>
        <w:tc>
          <w:tcPr>
            <w:tcW w:w="1547" w:type="dxa"/>
            <w:tcBorders>
              <w:tl2br w:val="nil"/>
              <w:tr2bl w:val="nil"/>
            </w:tcBorders>
            <w:vAlign w:val="center"/>
          </w:tcPr>
          <w:p>
            <w:pPr>
              <w:widowControl/>
              <w:tabs>
                <w:tab w:val="left" w:pos="248"/>
              </w:tabs>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&lt;=2.25万元</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效益指标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保障单位职工基本生活</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有效保障</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有效保障</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职工满意度</w:t>
            </w:r>
          </w:p>
        </w:tc>
        <w:tc>
          <w:tcPr>
            <w:tcW w:w="1178" w:type="dxa"/>
            <w:tcBorders>
              <w:tl2br w:val="nil"/>
              <w:tr2bl w:val="nil"/>
            </w:tcBorders>
            <w:vAlign w:val="center"/>
          </w:tcPr>
          <w:p>
            <w:pPr>
              <w:widowControl/>
              <w:spacing w:line="240" w:lineRule="auto"/>
              <w:jc w:val="center"/>
              <w:rPr>
                <w:rFonts w:ascii="宋体" w:hAnsi="宋体" w:eastAsia="宋体" w:cs="宋体"/>
                <w:kern w:val="0"/>
                <w:sz w:val="18"/>
                <w:szCs w:val="18"/>
              </w:rPr>
            </w:pPr>
            <w:r>
              <w:rPr>
                <w:rFonts w:hint="eastAsia" w:ascii="宋体" w:hAnsi="宋体" w:eastAsia="宋体" w:cs="宋体"/>
                <w:kern w:val="0"/>
                <w:sz w:val="18"/>
                <w:szCs w:val="18"/>
              </w:rPr>
              <w:t>&gt;=95%</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14:textOutline w14:w="9525">
                  <w14:solidFill>
                    <w14:schemeClr w14:val="tx1"/>
                  </w14:solidFill>
                  <w14:round/>
                </w14:textOutline>
              </w:rPr>
            </w:pPr>
            <w:r>
              <w:rPr>
                <w:rFonts w:hint="eastAsia" w:ascii="宋体" w:hAnsi="宋体" w:eastAsia="宋体" w:cs="宋体"/>
                <w:kern w:val="0"/>
                <w:sz w:val="18"/>
                <w:szCs w:val="18"/>
              </w:rPr>
              <w:t>95%</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bl>
    <w:p>
      <w:pPr>
        <w:pStyle w:val="17"/>
        <w:jc w:val="both"/>
        <w:rPr>
          <w:rFonts w:ascii="Times New Roman" w:hAnsi="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bCs/>
          <w:sz w:val="32"/>
          <w:szCs w:val="32"/>
          <w:highlight w:val="none"/>
        </w:rPr>
      </w:pPr>
      <w:r>
        <w:rPr>
          <w:bCs/>
          <w:sz w:val="32"/>
          <w:szCs w:val="32"/>
        </w:rPr>
        <w:t>附件1</w:t>
      </w:r>
    </w:p>
    <w:tbl>
      <w:tblPr>
        <w:tblStyle w:val="20"/>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7"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18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continue"/>
            <w:shd w:val="clear" w:color="auto" w:fill="FFFFFF"/>
            <w:vAlign w:val="center"/>
          </w:tcPr>
          <w:p>
            <w:pPr>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过程　</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17"/>
        <w:rPr>
          <w:rFonts w:ascii="Times New Roman" w:hAnsi="Times New Roman"/>
          <w:highlight w:val="none"/>
        </w:rPr>
      </w:pPr>
    </w:p>
    <w:p>
      <w:pPr>
        <w:rPr>
          <w:highlight w:val="none"/>
        </w:rPr>
      </w:pPr>
    </w:p>
    <w:p>
      <w:pPr>
        <w:spacing w:line="540" w:lineRule="exact"/>
        <w:ind w:firstLine="640"/>
        <w:rPr>
          <w:rStyle w:val="23"/>
          <w:rFonts w:eastAsia="黑体"/>
          <w:bCs w:val="0"/>
          <w:spacing w:val="-4"/>
          <w:sz w:val="32"/>
          <w:szCs w:val="32"/>
          <w:highlight w:val="none"/>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17</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B1E1B588"/>
    <w:multiLevelType w:val="singleLevel"/>
    <w:tmpl w:val="B1E1B588"/>
    <w:lvl w:ilvl="0" w:tentative="0">
      <w:start w:val="1"/>
      <w:numFmt w:val="lowerLetter"/>
      <w:lvlText w:val="%1."/>
      <w:lvlJc w:val="left"/>
      <w:pPr>
        <w:tabs>
          <w:tab w:val="left" w:pos="312"/>
        </w:tabs>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E83853AE"/>
    <w:multiLevelType w:val="singleLevel"/>
    <w:tmpl w:val="E83853AE"/>
    <w:lvl w:ilvl="0" w:tentative="0">
      <w:start w:val="2"/>
      <w:numFmt w:val="decimal"/>
      <w:suff w:val="nothing"/>
      <w:lvlText w:val="%1、"/>
      <w:lvlJc w:val="left"/>
    </w:lvl>
  </w:abstractNum>
  <w:abstractNum w:abstractNumId="4">
    <w:nsid w:val="FF9379A8"/>
    <w:multiLevelType w:val="singleLevel"/>
    <w:tmpl w:val="FF9379A8"/>
    <w:lvl w:ilvl="0" w:tentative="0">
      <w:start w:val="2"/>
      <w:numFmt w:val="chineseCounting"/>
      <w:suff w:val="nothing"/>
      <w:lvlText w:val="（%1）"/>
      <w:lvlJc w:val="left"/>
      <w:rPr>
        <w:rFonts w:hint="eastAsia"/>
      </w:rPr>
    </w:lvl>
  </w:abstractNum>
  <w:abstractNum w:abstractNumId="5">
    <w:nsid w:val="116B29BF"/>
    <w:multiLevelType w:val="singleLevel"/>
    <w:tmpl w:val="116B29BF"/>
    <w:lvl w:ilvl="0" w:tentative="0">
      <w:start w:val="3"/>
      <w:numFmt w:val="chineseCounting"/>
      <w:suff w:val="nothing"/>
      <w:lvlText w:val="%1、"/>
      <w:lvlJc w:val="left"/>
      <w:rPr>
        <w:rFonts w:hint="eastAsia"/>
      </w:r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38F0C646"/>
    <w:multiLevelType w:val="singleLevel"/>
    <w:tmpl w:val="38F0C646"/>
    <w:lvl w:ilvl="0" w:tentative="0">
      <w:start w:val="1"/>
      <w:numFmt w:val="decimal"/>
      <w:suff w:val="nothing"/>
      <w:lvlText w:val="%1、"/>
      <w:lvlJc w:val="left"/>
    </w:lvl>
  </w:abstractNum>
  <w:num w:numId="1">
    <w:abstractNumId w:val="3"/>
  </w:num>
  <w:num w:numId="2">
    <w:abstractNumId w:val="2"/>
  </w:num>
  <w:num w:numId="3">
    <w:abstractNumId w:val="6"/>
  </w:num>
  <w:num w:numId="4">
    <w:abstractNumId w:val="7"/>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3YzVjNzU4YWFmZTg3OGZhMDQ2NThjZGMwY2MwNW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9D5381B"/>
    <w:rsid w:val="0B0F58D6"/>
    <w:rsid w:val="0F8D41CB"/>
    <w:rsid w:val="0FEE2F21"/>
    <w:rsid w:val="11C75270"/>
    <w:rsid w:val="12637CC3"/>
    <w:rsid w:val="12E657C5"/>
    <w:rsid w:val="133C6E2A"/>
    <w:rsid w:val="167C7687"/>
    <w:rsid w:val="168B3546"/>
    <w:rsid w:val="17B84AE8"/>
    <w:rsid w:val="1A2374E0"/>
    <w:rsid w:val="1C317CE2"/>
    <w:rsid w:val="1DD45808"/>
    <w:rsid w:val="1DED42AC"/>
    <w:rsid w:val="20005763"/>
    <w:rsid w:val="20FB313D"/>
    <w:rsid w:val="218D2E42"/>
    <w:rsid w:val="220B4804"/>
    <w:rsid w:val="23717A60"/>
    <w:rsid w:val="26F4700A"/>
    <w:rsid w:val="278B653F"/>
    <w:rsid w:val="282475E3"/>
    <w:rsid w:val="29E421D9"/>
    <w:rsid w:val="2A165009"/>
    <w:rsid w:val="2C6100C1"/>
    <w:rsid w:val="3235157C"/>
    <w:rsid w:val="3264220D"/>
    <w:rsid w:val="32A83563"/>
    <w:rsid w:val="38872456"/>
    <w:rsid w:val="3963178C"/>
    <w:rsid w:val="3BA5236D"/>
    <w:rsid w:val="3CED0699"/>
    <w:rsid w:val="3EB02FD6"/>
    <w:rsid w:val="41CC2676"/>
    <w:rsid w:val="46B21672"/>
    <w:rsid w:val="4F552460"/>
    <w:rsid w:val="4FCC6863"/>
    <w:rsid w:val="500A214A"/>
    <w:rsid w:val="522D604D"/>
    <w:rsid w:val="5297585E"/>
    <w:rsid w:val="52AD7D6F"/>
    <w:rsid w:val="5549519D"/>
    <w:rsid w:val="5557596B"/>
    <w:rsid w:val="58114ACB"/>
    <w:rsid w:val="5B596DFC"/>
    <w:rsid w:val="5DAE6D00"/>
    <w:rsid w:val="5DF03945"/>
    <w:rsid w:val="5F03526B"/>
    <w:rsid w:val="5FBBF54F"/>
    <w:rsid w:val="62E515AF"/>
    <w:rsid w:val="637C2815"/>
    <w:rsid w:val="666B4FDC"/>
    <w:rsid w:val="67FF13C8"/>
    <w:rsid w:val="682144B7"/>
    <w:rsid w:val="68522E39"/>
    <w:rsid w:val="6B503F77"/>
    <w:rsid w:val="6E311968"/>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rPr>
  </w:style>
  <w:style w:type="paragraph" w:styleId="13">
    <w:name w:val="Balloon Text"/>
    <w:basedOn w:val="1"/>
    <w:link w:val="50"/>
    <w:semiHidden/>
    <w:unhideWhenUsed/>
    <w:qFormat/>
    <w:uiPriority w:val="99"/>
    <w:rPr>
      <w:sz w:val="18"/>
      <w:szCs w:val="18"/>
    </w:rPr>
  </w:style>
  <w:style w:type="paragraph" w:styleId="14">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w:basedOn w:val="11"/>
    <w:qFormat/>
    <w:uiPriority w:val="0"/>
    <w:pPr>
      <w:spacing w:after="0"/>
      <w:ind w:firstLine="200" w:firstLineChars="200"/>
    </w:pPr>
  </w:style>
  <w:style w:type="paragraph" w:styleId="19">
    <w:name w:val="Body Text First Indent 2"/>
    <w:basedOn w:val="12"/>
    <w:qFormat/>
    <w:uiPriority w:val="0"/>
    <w:pPr>
      <w:ind w:firstLine="420" w:firstLineChars="200"/>
    </w:p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2"/>
    <w:qFormat/>
    <w:uiPriority w:val="9"/>
    <w:rPr>
      <w:rFonts w:asciiTheme="majorHAnsi" w:hAnsiTheme="majorHAnsi" w:eastAsiaTheme="majorEastAsia"/>
      <w:b/>
      <w:bCs/>
      <w:kern w:val="32"/>
      <w:sz w:val="32"/>
      <w:szCs w:val="32"/>
    </w:rPr>
  </w:style>
  <w:style w:type="character" w:customStyle="1" w:styleId="26">
    <w:name w:val="标题 2 字符"/>
    <w:basedOn w:val="22"/>
    <w:link w:val="3"/>
    <w:semiHidden/>
    <w:qFormat/>
    <w:uiPriority w:val="9"/>
    <w:rPr>
      <w:rFonts w:asciiTheme="majorHAnsi" w:hAnsiTheme="majorHAnsi" w:eastAsiaTheme="majorEastAsia"/>
      <w:b/>
      <w:bCs/>
      <w:i/>
      <w:iCs/>
      <w:sz w:val="28"/>
      <w:szCs w:val="28"/>
    </w:rPr>
  </w:style>
  <w:style w:type="character" w:customStyle="1" w:styleId="27">
    <w:name w:val="标题 3 字符"/>
    <w:basedOn w:val="22"/>
    <w:link w:val="4"/>
    <w:semiHidden/>
    <w:qFormat/>
    <w:uiPriority w:val="9"/>
    <w:rPr>
      <w:rFonts w:asciiTheme="majorHAnsi" w:hAnsiTheme="majorHAnsi" w:eastAsiaTheme="majorEastAsia"/>
      <w:b/>
      <w:bCs/>
      <w:sz w:val="26"/>
      <w:szCs w:val="26"/>
    </w:rPr>
  </w:style>
  <w:style w:type="character" w:customStyle="1" w:styleId="28">
    <w:name w:val="标题 4 字符"/>
    <w:basedOn w:val="22"/>
    <w:link w:val="5"/>
    <w:semiHidden/>
    <w:qFormat/>
    <w:uiPriority w:val="9"/>
    <w:rPr>
      <w:b/>
      <w:bCs/>
      <w:sz w:val="28"/>
      <w:szCs w:val="28"/>
    </w:rPr>
  </w:style>
  <w:style w:type="character" w:customStyle="1" w:styleId="29">
    <w:name w:val="标题 5 字符"/>
    <w:basedOn w:val="22"/>
    <w:link w:val="6"/>
    <w:semiHidden/>
    <w:qFormat/>
    <w:uiPriority w:val="9"/>
    <w:rPr>
      <w:b/>
      <w:bCs/>
      <w:i/>
      <w:iCs/>
      <w:sz w:val="26"/>
      <w:szCs w:val="26"/>
    </w:rPr>
  </w:style>
  <w:style w:type="character" w:customStyle="1" w:styleId="30">
    <w:name w:val="标题 6 字符"/>
    <w:basedOn w:val="22"/>
    <w:link w:val="7"/>
    <w:semiHidden/>
    <w:qFormat/>
    <w:uiPriority w:val="9"/>
    <w:rPr>
      <w:b/>
      <w:bCs/>
    </w:rPr>
  </w:style>
  <w:style w:type="character" w:customStyle="1" w:styleId="31">
    <w:name w:val="标题 7 字符"/>
    <w:basedOn w:val="22"/>
    <w:link w:val="8"/>
    <w:semiHidden/>
    <w:qFormat/>
    <w:uiPriority w:val="9"/>
    <w:rPr>
      <w:sz w:val="24"/>
      <w:szCs w:val="24"/>
    </w:rPr>
  </w:style>
  <w:style w:type="character" w:customStyle="1" w:styleId="32">
    <w:name w:val="标题 8 字符"/>
    <w:basedOn w:val="22"/>
    <w:link w:val="9"/>
    <w:semiHidden/>
    <w:qFormat/>
    <w:uiPriority w:val="9"/>
    <w:rPr>
      <w:i/>
      <w:iCs/>
      <w:sz w:val="24"/>
      <w:szCs w:val="24"/>
    </w:rPr>
  </w:style>
  <w:style w:type="character" w:customStyle="1" w:styleId="33">
    <w:name w:val="标题 9 字符"/>
    <w:basedOn w:val="22"/>
    <w:link w:val="10"/>
    <w:semiHidden/>
    <w:qFormat/>
    <w:uiPriority w:val="9"/>
    <w:rPr>
      <w:rFonts w:asciiTheme="majorHAnsi" w:hAnsiTheme="majorHAnsi" w:eastAsiaTheme="majorEastAsia"/>
    </w:rPr>
  </w:style>
  <w:style w:type="character" w:customStyle="1" w:styleId="34">
    <w:name w:val="标题 字符"/>
    <w:basedOn w:val="22"/>
    <w:link w:val="17"/>
    <w:qFormat/>
    <w:uiPriority w:val="10"/>
    <w:rPr>
      <w:rFonts w:asciiTheme="majorHAnsi" w:hAnsiTheme="majorHAnsi" w:eastAsiaTheme="majorEastAsia"/>
      <w:b/>
      <w:bCs/>
      <w:kern w:val="28"/>
      <w:sz w:val="32"/>
      <w:szCs w:val="32"/>
    </w:rPr>
  </w:style>
  <w:style w:type="character" w:customStyle="1" w:styleId="35">
    <w:name w:val="副标题 字符"/>
    <w:basedOn w:val="22"/>
    <w:link w:val="16"/>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2"/>
    <w:next w:val="1"/>
    <w:semiHidden/>
    <w:unhideWhenUsed/>
    <w:qFormat/>
    <w:uiPriority w:val="39"/>
    <w:pPr>
      <w:outlineLvl w:val="9"/>
    </w:pPr>
    <w:rPr>
      <w:lang w:eastAsia="en-US" w:bidi="en-US"/>
    </w:rPr>
  </w:style>
  <w:style w:type="character" w:customStyle="1" w:styleId="48">
    <w:name w:val="页眉 字符"/>
    <w:basedOn w:val="22"/>
    <w:link w:val="15"/>
    <w:qFormat/>
    <w:uiPriority w:val="99"/>
    <w:rPr>
      <w:rFonts w:ascii="Calibri" w:hAnsi="Calibri" w:eastAsia="宋体"/>
      <w:kern w:val="2"/>
      <w:sz w:val="18"/>
      <w:szCs w:val="18"/>
    </w:rPr>
  </w:style>
  <w:style w:type="character" w:customStyle="1" w:styleId="49">
    <w:name w:val="页脚 字符"/>
    <w:basedOn w:val="22"/>
    <w:link w:val="14"/>
    <w:qFormat/>
    <w:uiPriority w:val="99"/>
    <w:rPr>
      <w:rFonts w:ascii="Calibri" w:hAnsi="Calibri" w:eastAsia="宋体"/>
      <w:kern w:val="2"/>
      <w:sz w:val="18"/>
      <w:szCs w:val="18"/>
    </w:rPr>
  </w:style>
  <w:style w:type="character" w:customStyle="1" w:styleId="50">
    <w:name w:val="批注框文本 字符"/>
    <w:basedOn w:val="22"/>
    <w:link w:val="13"/>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12</TotalTime>
  <ScaleCrop>false</ScaleCrop>
  <LinksUpToDate>false</LinksUpToDate>
  <CharactersWithSpaces>6652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user</cp:lastModifiedBy>
  <cp:lastPrinted>2019-12-31T16:02:00Z</cp:lastPrinted>
  <dcterms:modified xsi:type="dcterms:W3CDTF">2025-02-07T11:48:54Z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15D4BBD26E534399AAFF3AE2F064824D_13</vt:lpwstr>
  </property>
  <property fmtid="{D5CDD505-2E9C-101B-9397-08002B2CF9AE}" pid="4" name="KSOSaveFontToCloudKey">
    <vt:lpwstr>0_btnclosed</vt:lpwstr>
  </property>
</Properties>
</file>