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自治区畜牧兽医局本级</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3"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一、基本概况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（一）自治区畜牧兽医局基本情况。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（1）贯彻落实国家和自治区有关畜牧兽医方面的法律、法规和政策等。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（2）负责畜牧业、兽药和兽医器械行业、饲料饲草业、畜禽屠宰行业监督管理。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（3）起草畜牧业、兽药和兽医器械行业、兽医事业发展、动物疫病防治、检疫监督、饲料饲草业、畜禽屠宰行业的政策法规草案，拟订发展规划，提出相关政策建议并组织实施。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（4）拟订畜牧业、兽医器械行业、动物疫病防治、动物卫生、饲料饲草业、畜禽屠宰行业有关标准和技术规范并组织实施。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（5）指导畜牧业结构调整、畜禽遗传资源保护与利用、种畜禽管理及良种推广利用、标准化规模化生产、畜禽养殖场备案管理、畜禽粪污资源化利用、病死畜禽无害化处理、畜牧设施装备现代化。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（6）指导饲草良种体系建设、饲草生产加工流通、草牧业转型升级、农牧交错带产业结构调整。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（7）负责动物疫病防治和疫情管理工作。组织实施动物疫病监测和风险评估，监督指导动物疫情扑灭工作。负责动物防疫应急管理。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（8）负责兽医医政监督管理，负责兽医相关人员、中兽医和动物诊疗机构管理。承担畜牧兽医体系建设工作。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（9）负责实施动物及动物产品检疫、动物防疫条件审核、动物标识及动物产品可追溯、动物卫生监督分级管理工作。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（10）实施兽医生物制品、动物病原微生物和实验室生物安全分级管理，负责兽医实验室考核评估。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（11）负责兽药及兽医器械、饲料及饲料添加剂、生鲜乳生产收购运输环节、畜禽屠宰环节质量安全监督管理。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（12）提出畜牧兽医科研、技术推广项目建议，负责重大科研、推广项目的管理工作。指导行业技术推广体系建设与改革。负责组织畜牧行业科技培训。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（13）组织畜禽养殖、屠宰、饲料饲草生产等牧情调度，承担畜牧业综合生产形势分析和畜牧兽医行业统计有关工作。组织畜牧业产品供求信息、价格信息的收集和分析。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t>（14）拟订畜牧业发展规划。提出相关投资项目需求和财政项目安排建议并组织实施。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（15）完成自治区党委、自治区人民政府交办的其他事项。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t>同时，根据职能转变，新增了三项职责：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t>一是贯彻落实实施乡村振兴战略要求，推进畜牧业供给侧结构性改革，提升劳动生产率、资源利用率、畜禽生产率，提升畜产品有效供给能力，提升畜牧业绿色发展水平，加快推进畜牧业现代化。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二是加强畜牧业投入品、生鲜乳和畜禽养殖、屠宰等各环节监督管理和动物疫病防控，严防、严管、严控质量安全风险和重大动物疫病风险。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三是深入推进简政放权，落实放管服要求，最大限度简化畜牧兽医有关行政审批事项办理程序及要求，加强事中事后监管。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2.机构人员构成情况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从部门决算单位构成看，新疆维吾尔自治区畜牧兽医局部门决算包括：新疆维吾尔自治区畜牧兽医局部门本级决算及所属单位决算。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t>纳入新疆维吾尔自治区畜牧兽医局2023年度部门决算编制范围的单位名单见下表：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序号</w:t>
      </w:r>
      <w:r>
        <w:rPr>
          <w:rFonts w:hint="eastAsia" w:ascii="仿宋_GB2312" w:hAnsi="宋体" w:eastAsia="仿宋_GB2312"/>
          <w:bCs/>
          <w:sz w:val="32"/>
          <w:szCs w:val="32"/>
        </w:rPr>
        <w:tab/>
        <w:t>单位名称</w:t>
      </w:r>
      <w:r>
        <w:rPr>
          <w:rFonts w:hint="eastAsia" w:ascii="仿宋_GB2312" w:hAnsi="宋体" w:eastAsia="仿宋_GB2312"/>
          <w:bCs/>
          <w:sz w:val="32"/>
          <w:szCs w:val="32"/>
        </w:rPr>
        <w:tab/>
        <w:t>单位性质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w:t>
      </w:r>
      <w:r>
        <w:rPr>
          <w:rFonts w:hint="eastAsia" w:ascii="仿宋_GB2312" w:hAnsi="宋体" w:eastAsia="仿宋_GB2312"/>
          <w:bCs/>
          <w:sz w:val="32"/>
          <w:szCs w:val="32"/>
        </w:rPr>
        <w:tab/>
        <w:t>新疆维吾尔自治区畜牧兽医局本级</w:t>
      </w:r>
      <w:r>
        <w:rPr>
          <w:rFonts w:hint="eastAsia" w:ascii="仿宋_GB2312" w:hAnsi="宋体" w:eastAsia="仿宋_GB2312"/>
          <w:bCs/>
          <w:sz w:val="32"/>
          <w:szCs w:val="32"/>
        </w:rPr>
        <w:tab/>
        <w:t>行政单位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w:t>
      </w:r>
      <w:r>
        <w:rPr>
          <w:rFonts w:hint="eastAsia" w:ascii="仿宋_GB2312" w:hAnsi="宋体" w:eastAsia="仿宋_GB2312"/>
          <w:bCs/>
          <w:sz w:val="32"/>
          <w:szCs w:val="32"/>
        </w:rPr>
        <w:tab/>
        <w:t>新疆维吾尔自治区动物卫生监督所</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w:t>
      </w:r>
      <w:r>
        <w:rPr>
          <w:rFonts w:hint="eastAsia" w:ascii="仿宋_GB2312" w:hAnsi="宋体" w:eastAsia="仿宋_GB2312"/>
          <w:bCs/>
          <w:sz w:val="32"/>
          <w:szCs w:val="32"/>
        </w:rPr>
        <w:tab/>
        <w:t>新疆维吾尔自治区畜牧总站</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w:t>
      </w:r>
      <w:r>
        <w:rPr>
          <w:rFonts w:hint="eastAsia" w:ascii="仿宋_GB2312" w:hAnsi="宋体" w:eastAsia="仿宋_GB2312"/>
          <w:bCs/>
          <w:sz w:val="32"/>
          <w:szCs w:val="32"/>
        </w:rPr>
        <w:tab/>
        <w:t>新疆维吾尔自治区兽药饲料监察所</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w:t>
      </w:r>
      <w:r>
        <w:rPr>
          <w:rFonts w:hint="eastAsia" w:ascii="仿宋_GB2312" w:hAnsi="宋体" w:eastAsia="仿宋_GB2312"/>
          <w:bCs/>
          <w:sz w:val="32"/>
          <w:szCs w:val="32"/>
        </w:rPr>
        <w:tab/>
        <w:t>新疆维吾尔自治区畜牧兽医局机关服务</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w:t>
      </w:r>
      <w:r>
        <w:rPr>
          <w:rFonts w:hint="eastAsia" w:ascii="仿宋_GB2312" w:hAnsi="宋体" w:eastAsia="仿宋_GB2312"/>
          <w:bCs/>
          <w:sz w:val="32"/>
          <w:szCs w:val="32"/>
        </w:rPr>
        <w:tab/>
        <w:t>新疆维吾尔自治区牧业信息中心</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w:t>
      </w:r>
      <w:r>
        <w:rPr>
          <w:rFonts w:hint="eastAsia" w:ascii="仿宋_GB2312" w:hAnsi="宋体" w:eastAsia="仿宋_GB2312"/>
          <w:bCs/>
          <w:sz w:val="32"/>
          <w:szCs w:val="32"/>
        </w:rPr>
        <w:tab/>
        <w:t>新疆维吾尔自治区畜牧科技资料编译室</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w:t>
      </w:r>
      <w:r>
        <w:rPr>
          <w:rFonts w:hint="eastAsia" w:ascii="仿宋_GB2312" w:hAnsi="宋体" w:eastAsia="仿宋_GB2312"/>
          <w:bCs/>
          <w:sz w:val="32"/>
          <w:szCs w:val="32"/>
        </w:rPr>
        <w:tab/>
        <w:t>新疆伊犁职业技术学院（原牧校）</w:t>
      </w:r>
      <w:r>
        <w:rPr>
          <w:rFonts w:hint="eastAsia" w:ascii="仿宋_GB2312" w:hAnsi="宋体" w:eastAsia="仿宋_GB2312"/>
          <w:bCs/>
          <w:sz w:val="32"/>
          <w:szCs w:val="32"/>
        </w:rPr>
        <w:tab/>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人员情况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新疆维吾尔自治区畜牧兽医局2023年度，实有人数497人，其中：在职人员491人，离休人员6人。比上年减少29人。其中畜牧兽医局办公室减少6人（调入4人，退休4人,辞职1人，离休死亡5人）；牧业信息中心减少1人（退休1人）；畜牧总站减少1人（退休1人）；动物卫生监督所减少11人（退休9人，调离1人，离休死亡1人）；兽药饲料监察所减少1人（退休1人）；畜牧科技资料编译室减少4人（退休3人，调离1人），伊犁职业技术学院（原牧校）减少6人（退休6人）；畜牧兽医局机关服务中心增加1人（调入1人）。</w:t>
      </w:r>
      <w:bookmarkStart w:id="0" w:name="_Hlk43849111"/>
      <w:bookmarkEnd w:id="0"/>
    </w:p>
    <w:p>
      <w:pPr>
        <w:spacing w:line="600" w:lineRule="exact"/>
        <w:ind w:firstLine="963"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w:t>
      </w:r>
      <w:r>
        <w:rPr>
          <w:rFonts w:hint="eastAsia" w:ascii="仿宋_GB2312" w:hAnsi="宋体" w:eastAsia="仿宋_GB2312"/>
          <w:bCs/>
          <w:sz w:val="32"/>
          <w:szCs w:val="32"/>
        </w:rPr>
        <w:tab/>
        <w:t>部门单位年度重点工作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今年以来，自治区畜牧兽医局认真贯彻落实国家和自治区党委农村工作会议暨推进乡村振兴高质量发展会议精神，贯彻中央一号文件和自治区党委一号文件精神，聚焦优质畜（禽）产品产业集群建设，深入实施畜牧业振兴行动，努力克服国内外经济下行、市场消费不足、养殖成本上涨、养殖效益下滑等不利因素影响，落实落细畜牧业高质量发展政策措施，以月促季、以季促年，全力推动畜牧业转型高质量发展。行业预计，2023年全区猪牛羊禽肉产量210.5万吨，同比增长10.5%；奶产量242.6万吨，同比增长9%；禽蛋产量39.8万吨，同比增长4%。预计全区畜牧业产值达到1400亿元，同比增长8%左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1、加强领导，统筹推进畜牧兽医重点工作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自治区畜牧兽医局结合巡视整改和学习贯彻习近平新时代中国特色社会主义思想主题教育，认真学习贯彻习近平总书记关于“三农”工作的重要论述和习近平总书记听取自治区和兵团工作汇报时的重要讲话精神，贯彻自治区党委十届历次全会精神，切实加强对畜牧业工作的调研和指导，聚焦优质畜（禽）产品产业集群建设，围绕年初确定的36项畜牧兽医重点工作，全力推动实现肉、奶、蛋增长10%、9%、2%的年度目标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（1）完善优质畜（禽）产品产业集群规划体系。开展疆内外调研，兵地结合、区地联动，广泛征求意见建议，经反复修改、专家论证形成了《自治区优质畜（禽）产品产业集群建设行动计划（2023—2025年）</w:t>
      </w:r>
      <w:r>
        <w:rPr>
          <w:rFonts w:hint="eastAsia" w:ascii="仿宋_GB2312" w:hAnsi="宋体" w:eastAsia="仿宋_GB2312"/>
          <w:bCs/>
          <w:sz w:val="32"/>
          <w:szCs w:val="32"/>
        </w:rPr>
        <w:t>（送审稿）</w:t>
      </w:r>
      <w:r>
        <w:rPr>
          <w:rFonts w:hint="eastAsia" w:ascii="仿宋_GB2312" w:hAnsi="宋体" w:eastAsia="仿宋_GB2312"/>
          <w:bCs/>
          <w:sz w:val="32"/>
          <w:szCs w:val="32"/>
        </w:rPr>
        <w:t>》，明确了肉牛肉羊、乳制品、生猪、家禽、马产业等五个产业链发展区域布局、建设路径、技术路线、目标任务、重点措施，确定了链主和骨干企业，推动产业延链补链壮链。行动计划已经9月27日自治区第十四届人民政府第29次常务会议审议通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深入实施畜牧业振兴行动。一是持续做大肉羊肉牛产业。力促自治区人民政府办公厅印发了《关于加快新疆肉羊产业高质量发展的实施意见》（新政办发〔2023〕24号）。抓规模养殖，全区新建改扩建肉牛、肉羊规模养殖场60余家。抓项目引领，持续实施新疆褐牛产业集群项目，新立项实施新疆肉羊产业集群、基础母牛扩群提质项目，惠及南疆12个县。抓牛羊出栏，强化产销对接服务，预计全年新增肉羊出栏270万只，同比增长8%。调运出疆活牛70万头，同比增长80%以上。抓保险保障，积极对接财政部门争取实施肉牛肉羊保险试点。二是大力推进奶业振兴。建基地，新增30家奶畜规模养殖场，新增荷斯坦奶牛3万头。提单产，荷斯坦奶牛规模养殖场单产水平提升300千克、达到9吨以上。促外销，预计全年外销出疆乳制品20余万吨。三是稳定生猪产业。调优产能，全区新认定生猪产能调控基地10家，达到37家，能繁母猪保有量稳定在合理区间。外向发展，预计全年外销出疆生猪及猪肉产品折合生猪300余万头，同比增长11%。四是扶持特色产业发展。扩增家禽产能，全区新建及改扩建标准化规模养禽基地9个、新增蛋禽存栏100万羽以上。做优马业特色，马匹存栏稳定在100万匹，全产业链产值突破110亿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（3）全力推动草原畜牧业转型升级。一是推动出台规划。配合农业农村部开展规划前期工作，《新疆草原畜牧业转型升级规划（2023—2030年）</w:t>
      </w:r>
      <w:r>
        <w:rPr>
          <w:rFonts w:hint="eastAsia" w:ascii="仿宋_GB2312" w:hAnsi="宋体" w:eastAsia="仿宋_GB2312"/>
          <w:bCs/>
          <w:sz w:val="32"/>
          <w:szCs w:val="32"/>
        </w:rPr>
        <w:t>（送审稿）</w:t>
      </w:r>
      <w:r>
        <w:rPr>
          <w:rFonts w:hint="eastAsia" w:ascii="仿宋_GB2312" w:hAnsi="宋体" w:eastAsia="仿宋_GB2312"/>
          <w:bCs/>
          <w:sz w:val="32"/>
          <w:szCs w:val="32"/>
        </w:rPr>
        <w:t>》（新政发〔2023〕21号）已经自治区人民政府与农业农村部联合印发实施，全区37个牧业半牧业县全部纳入规划实施范围。二是抓生产模式转变试点。落实7月3日自治区肉牛肉羊养殖模式座谈会精神，召开研讨会，制定《2023年自治区转变草原畜牧业生产模式试点县建设工作方案》，全区有36个县市开展了试点工作。持续抓好3个国家草原畜牧业转型升级试点县建设。三是全面部署推动。在伊犁州召开自治区畜牧业转型高质量发展现场推进会，现场观摩学习，总结试点经验，坚持问题导向，进一步统一思想，明确主导品种和技术路线，提出转型发展的措施。四是落实草原奖补政策。实施草原禁牧1.64亿亩，草畜平衡管理4.99亿亩。积极引导牧民利用奖补资金发展草牧业生产，提高自我发展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进一步夯实畜牧业高质量发展基础。一是加强畜禽种业基地建设。完成国家第三次畜禽遗传资源普查工作，皮山红羊被国家认定为畜禽遗传新资源。持续实施畜禽种业提升计划，推广优质种公羊3万只、优质冻精150余万剂，羊供种能力提升了5%，牛冻精生产能力提升了80%。二是加强优质饲草料基地建设。落实“粮改饲”政策，用好秸秆等农副产品资源，推进豆粕减量替代，全区优质饲草种植面积超过1100万亩，饲料和饲料添加剂产量达到400万吨。三是强化科技支撑。筹建自治区现代农业畜牧产业技术体系，产学研用结合加速技术集成应用。新创建国家畜禽标准化养殖示范场5家，制（修）订地方标准12项、国家和行业标准7项，3项畜牧业成果获得自治区科技进步一等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持续强化动物疫病防控和畜产品质量安全监管。一是强化重大动物疫病防控。扎实开展春秋两季重大动物疫病强制免疫，全年重大动物疫病免疫密度和免疫抗体合格率分别保持在国家规定的90%和70%以上。二是加强动物疫病综合防控。健全人畜共患病联防联控工作机制，推进动物疫病净化，4家国家级、16家自治区级动物疫病净化场和3家无疫小区通过现场验收评估。经过60年接续努力，马传染性贫血消灭工作通过了国家验收。地县两级兽医实验室检测能力比对总体符合率达到96.93%，提升了3.84个百分点。三是加强检疫监督和队伍建设。全面推行动物检疫（B证）电子出证，强化动物跨省调运监管，召开南北疆两个片区社会化服务现场推进会，全区畜牧兽医社会化服务组织达到301个。四是加强畜产品质量安全监管。实施兽药二维码追溯和兽用抗菌药使用减量化行动，推进牛羊定点屠宰厂（场）分级管理试点，常态化开展肉蛋奶等畜产品质量安全监测工作。全年畜产品、兽药、饲料监测合格率均达到98%以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持续加强畜牧行业管理。一是加强畜牧业统计监测工作。与国家统计局新疆调查总队、自治区统计局联合开展畜禽养殖数据摸底调查和统计样本轮换，坚持月分析、季调度工作机制，每季度召开生产形势研判会，及时协调解决产业发展中的困难问题，生产形势分析更加科学精准。二是积极争取项目资金和金融支持。全年落实中央财政、中央预算内和自治区财政项目资金38.38亿元。与金融机构积极对接，推动扶持畜牧业发展信贷政策的落实，预计全区畜牧业贷款余额达到800亿元，同比增长15%以上。三是推进兵地融合发展。签订了《兵地共建畜牧兽医大数据信息管理平台框架合作协议》，实现了畜牧业数据融合互通。兵地携手打造肉牛肉羊、乳业2个全产业链龙头企业集团。</w:t>
      </w:r>
    </w:p>
    <w:p>
      <w:pPr>
        <w:spacing w:line="600" w:lineRule="exact"/>
        <w:ind w:firstLine="963"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(三)</w:t>
      </w:r>
      <w:r>
        <w:rPr>
          <w:rFonts w:hint="eastAsia" w:ascii="仿宋_GB2312" w:hAnsi="宋体" w:eastAsia="仿宋_GB2312"/>
          <w:bCs/>
          <w:sz w:val="32"/>
          <w:szCs w:val="32"/>
        </w:rPr>
        <w:tab/>
        <w:t>部门单位整体预算规模及安排情况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（一）收入支出预算安排情况。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1、单位收入年初预算安排情况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2023年本年收入年初预算数20189.95万元，比2022年17711.91万元增加2478.04万元，增加12.27%，主要原因是:一是2023年年初预算数把自治区转移支付至自治区单位的资金列入；二是人员工资、社保公积金基数增加。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2、单位支出年初预算安排情况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2023年本年支出年初预算数20189.95万元，比2022年17711.91万元增加2478.04万元，增加12.27%，主要原因是:一是2023年年初预算数把自治区转移支付至自治区单位的资金列入；二是人员工资、社保公积金基数增加。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（二）收入支出预算执行情况。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收入总计决算数22339.13万元,与2022年22007.83万元相比增加331.3万元，增加1.51%，主要原因是：一是财政收入增加（人员工资、社保公积金基数增加）。二是其他收入增加，自治区畜牧总站承担了转移支付6个科技项目。年初结转和结余2191.32万元，使用非财政拨款结余2.32万元。其中：2023年财政拨款收入决算数20215.61万元，与2022年19619.47万元相比增加596.14万元，增加3.04%，主要原因是:一是财政收入增加主要是人员工资、社保公积金增加；二是其他收入增加514.79万元,与2022年29.07万元相比增加485.72万元，增加1670.86%，主要原因是自治区畜牧总站承担了自治区6个科技项目共计501万元（中哈边境骆驼高效繁育技术研究与示范项目、肉羊高效饲养综合配套技术集成与示范项目、中哈边境地区骆驼标准化养殖关键技术研发应用、</w:t>
      </w:r>
      <w:r>
        <w:rPr>
          <w:rFonts w:hint="eastAsia" w:ascii="仿宋_GB2312" w:hAnsi="宋体" w:eastAsia="仿宋_GB2312"/>
          <w:bCs/>
          <w:sz w:val="32"/>
          <w:szCs w:val="32"/>
          <w:lang w:eastAsia="zh-CN"/>
        </w:rPr>
        <w:t>“十四五”规划</w:t>
      </w:r>
      <w:r>
        <w:rPr>
          <w:rFonts w:hint="eastAsia" w:ascii="仿宋_GB2312" w:hAnsi="宋体" w:eastAsia="仿宋_GB2312"/>
          <w:bCs/>
          <w:sz w:val="32"/>
          <w:szCs w:val="32"/>
        </w:rPr>
        <w:t>《现代马产业生产关键技术中试》、中央引导地方科技发展等项目、新疆褐牛肉用新品系（种）育种体系的建立项目）。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（三）收入与预算对比分析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收入总计年初预算数20,189.95万元，决算数22339.13万元，预决算差异率为10.64%；年初结转和结余2191.32万元，其中：本年收入年初预算数18,367.90万元，决算数20145.49万元，预决算差异率为9.68%；其中：财政拨款收入年初预算数18,367.90万元，决算数19630.7万元，预决算差异率为6.88%；其他收入年初预算数0万元，决算数514.79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二、部门单位整体支出管理及使用情况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根据自治区畜牧兽医局2023年《收入支出决算总表》，自治区畜牧兽医局2023年部门支出决算数为20448.55万元，其中，基本支出13741.7万元，占总支出的67.20%；项目支出决算数6706.85万元，占总支出的32.80%；2023年本年支出年初预算数20189.95万元，比2022年17711.91万元增加2478.04万元，增加12.27%，主要原因是:一是2023年年初预算数把自治区转移支付至自治区单位的资金列入；二是人员工资、社保公积金基数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如表所示，根据自治区畜牧兽医局2023年部门预决算报表信息，2023年，畜牧兽医局的财政拨款收入19630.7万元，其他收入514.79万元。畜牧兽医局本年支出为20448.55万元，其中，基本支出13741.7万元，项目支出6706.85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2．支出按经济分类科目分析。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（1）“三公”经费支出情况：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2023年三公经费支出81.70万元与上年81.64万元相比，增加0.07%，主要原因：因工作需要增加因公出国费用。2023年三公经费预算90.1万元与决算81.70万元相比，差异率10.28%，主要原因：</w:t>
      </w:r>
      <w:r>
        <w:rPr>
          <w:rFonts w:hint="eastAsia" w:ascii="仿宋_GB2312" w:hAnsi="宋体" w:eastAsia="仿宋_GB2312"/>
          <w:bCs/>
          <w:sz w:val="32"/>
          <w:szCs w:val="32"/>
          <w:lang w:eastAsia="zh-CN"/>
        </w:rPr>
        <w:t>厉行节约</w:t>
      </w:r>
      <w:r>
        <w:rPr>
          <w:rFonts w:hint="eastAsia" w:ascii="仿宋_GB2312" w:hAnsi="宋体" w:eastAsia="仿宋_GB2312"/>
          <w:bCs/>
          <w:sz w:val="32"/>
          <w:szCs w:val="32"/>
        </w:rPr>
        <w:t>，减少</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支出。2023年未购置公务用车，2023年公务用车保有量为55辆与上年相比未增加；2023年因公出国（境）2.56万元，与上年相比增加2.56万元，主要原因：因工作需要临时增加因公出国费用；2023年国内公务接待批次为11次（无外事接待）及国内公务接待人次为122人次。未动用上年结转用于三公经费的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（2）会议费支出情况：2023年会议费开支5.6万元，与上年0万元相比增长5.6万元，主要原因：2022年因疫情原因未开展相关会议。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（3）培训费支出情况：2023年培训费开支175.23万元，与上年154.57万元相比增加13.37%。主要原因自治区畜牧业生产发展资金增加培训费用。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3.财政拨款收入、支出分析。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本年一般公共预算财政拨款收入19630.70万元，与上年19619.47万元相比增加0.06%，主要原因是:增加了中央转移支付新疆维吾尔自治区兽药质量及兽药残留检测实验室改扩建项目、新疆肉羊产业集群、新疆伊犁马产业集群拨款收入、2023年度自治区新疆人才发展基金重大人才计划项目、自治区畜牧业生产发展项目拨款收入。2023年本年支出19792.29万元，与上年19665.45万元相比增长0.64%，主要原因是:增加了新疆维吾尔自治区兽药质量及兽药残留检测实验室改扩建项目、新疆肉羊产业集群、新疆伊犁马产业集群、2023年度新疆人才发展基金重大人才计划项目、自治区畜牧业生产发展项目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预算分类，一般公共预算19792.29万元，与上年19665.45万元相比增长0.64%，主要原因是: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支出性质，基本支出13,731.57万元，与上年14084.55相比降低2.51%，主要原因是财政部门收回了2023年自治区本级机关事业单位离退休人员医疗费补助；项目支出6,060.72万元，与上年5580.90万元相比增长8.60%，主要原因是:增加了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支出经济分类，其中：工资福利支出10534.88万元，比上年10620.84万元相比降低0.81%，主要原因是:人员减少；商品和服务支出6,103.79万元，比上年5933.03万元相比增长2.88%，主要原因是:增加了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对个人和家庭的补助2,068.26万元，比上年2570.78万元降低19.55%，主要原因是:减免了2023年自治区本级机关事业单位离退休人员医疗费补助；资本性支出1085.36万元，比上年540.79万元增长100.7%，主要原因是:自治区兽药饲料监察所承担了新疆维吾尔自治区兽药质量及兽药残留检测实验室改扩建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4.非财政拨款收入分析。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非财政拨款收入514.79万元，其中事业收入0万元、经营收入0万元和其他收入514.79万元；比上年29.07万元增长1670.86%，主要原因是:自治区畜牧总站承担了自治区6个科技厅项目共计501万元（中哈边境骆驼高效繁育技术研究与示范项目、肉羊高效饲养综合配套技术集成与示范项目、中哈边境地区骆驼标准化养殖关键技术研发应用、</w:t>
      </w:r>
      <w:r>
        <w:rPr>
          <w:rFonts w:hint="eastAsia" w:ascii="仿宋_GB2312" w:hAnsi="宋体" w:eastAsia="仿宋_GB2312"/>
          <w:bCs/>
          <w:sz w:val="32"/>
          <w:szCs w:val="32"/>
          <w:lang w:eastAsia="zh-CN"/>
        </w:rPr>
        <w:t>“十四五”规划</w:t>
      </w:r>
      <w:r>
        <w:rPr>
          <w:rFonts w:hint="eastAsia" w:ascii="仿宋_GB2312" w:hAnsi="宋体" w:eastAsia="仿宋_GB2312"/>
          <w:bCs/>
          <w:sz w:val="32"/>
          <w:szCs w:val="32"/>
        </w:rPr>
        <w:t>《现代马产业生产关键技术中试》、中央引导地方科技发展等项目、新疆褐牛肉用新品系（种）育种体系的建立项目）。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5.年末结转和结余情况。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末全局共结转资金1890.58万元，其中基本支出结转197.34万元，项目支出结转和结余1693.24万元；上年结转资金2012.84万元；与上年相比减少122.26万元，其中基本支出结转增加39.08万元，增加原因：本年退休人员数量较大，导致基本支出结转。项目支出结转和结余减少161.34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6.资产信息情况。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2023年年末货币资金3265.75万元较2022年末4248.95万元相比减少983.19万元，降低23.14%，主要原因是银行存款减少，其中银行存款3265.75万元较2022年末4248.95万元相比减少983.19万元，降低23.14%，主要原因用于支付非财政拨款预算项目。固定资产原值为28414.96万元，固定资产累计折旧17775.17万元，固定资产净值10639.79万元。办公用房和其他用房面积为124851.22平方米与2022年124005.28平方米相比增加845.94平方米，增加0.68%，房屋资产原值为12295.34万元与2022年11851.49万元相比增加443.85万元，增加3.75%，主要原因为动物卫生监督所对实验室地面进行了修缮，计入了固定资产；畜牧总站购置了实验室用房；药监所房屋增值。车辆数量为55辆与2022年一致，价值为2,079.67万元与2022年一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7.负债信息情况。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截至2023年年末借款0万元，应缴财政款0万元，应付职工薪酬25.25万元较2022年6.33万元增加18.92万元，减少298.91%，主要原因是</w:t>
      </w:r>
      <w:bookmarkStart w:id="1" w:name="_GoBack"/>
      <w:bookmarkEnd w:id="1"/>
      <w:r>
        <w:rPr>
          <w:rFonts w:hint="eastAsia" w:ascii="仿宋_GB2312" w:hAnsi="宋体" w:eastAsia="仿宋_GB2312"/>
          <w:bCs/>
          <w:sz w:val="32"/>
          <w:szCs w:val="32"/>
        </w:rPr>
        <w:t>在职转退休人员增加导致应付职工薪酬结余较多。</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三、部门单位整体支出绩效分析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全区猪牛羊禽肉产量210.5万吨，同比增长10.5%；奶产量242.6万吨，同比增长9%；禽蛋产量39.8万吨，同比增长4%。预计全区畜牧业产值达到1400亿元，同比增长8%左右。完成自治区畜牧兽医局2023年度整体绩效目标肉、奶、蛋增长10%、9%、2%，强制免疫病种应免畜禽的免疫密度大于等于90%及畜禽粪污综合利用率大于等于75%的年度目标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 完善优质畜（禽）产品产业集群规划体系。开展疆内外调研，兵地结合、区地联动，广泛征求意见建议，经反复修改、专家论证形成了《自治区优质畜（禽）产品产业集群建设行动计划（2023—2025年）》，明确了肉牛肉羊、乳制品、生猪、家禽、马产业等五个产业链发展区域布局、建设路径、技术路线、目标任务、重点措施，确定了链主和骨干企业，推动产业延链补链壮链。行动计划已经9月27日自治区第十四届人民政府第29次常务会议审议通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深入实施畜牧业振兴行动。一是持续做大肉羊肉牛产业。力促自治区人民政府办公厅印发了《关于加快新疆肉羊产业高质量发展的实施意见》（新政办发〔2023〕24号）。抓规模养殖，全区新建改扩建肉牛、肉羊规模养殖场60余家。抓项目引领，持续实施新疆褐牛产业集群项目，新立项实施新疆肉羊产业集群、基础母牛扩群提质项目，惠及南疆12个县。抓牛羊出栏，强化产销对接服务，预计全年新增肉羊出栏270万只，同比增长8%。调运出疆活牛70万头，同比增长80%以上。抓保险保障，积极对接财政部门争取实施肉牛肉羊保险试点。二是大力推进奶业振兴。建基地，新增30家奶畜规模养殖场，新增荷斯坦奶牛3万头。提单产，荷斯坦奶牛规模养殖场单产水平提升300千克、达到9吨以上。促外销，预计全年外销出疆乳制品20余万吨。三是稳定生猪产业。调优产能，全区新认定生猪产能调控基地10家，达到37家，能繁母猪保有量稳定在合理区间。外向发展，预计全年外销出疆生猪及猪肉产品折合生猪300余万头，同比增长11%。四是扶持特色产业发展。扩增家禽产能，全区新建及改扩建标准化规模养禽基地9个、新增蛋禽存栏100万羽以上。做优马业特色，马匹存栏稳定在100万匹，全产业链产值突破110亿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 全力推动草原畜牧业转型升级。一是推动出台规划。配合农业农村部开展规划前期工作，《新疆草原畜牧业转型升级规划（2023—2030年）》（新政发〔2023〕21号）已经自治区人民政府与农业农村部联合印发实施，全区37个牧业半牧业县全部纳入规划实施范围。二是抓生产模式转变试点。落实7月3日自治区肉牛肉羊养殖模式座谈会精神，召开研讨会，制定《2023年自治区转变草原畜牧业生产模式试点县建设工作方案》，全区有36个县市开展了试点工作。持续抓好3个国家草原畜牧业转型升级试点县建设。三是全面部署推动。在伊犁州召开自治区畜牧业转型高质量发展现场推进会，现场观摩学习，总结试点经验，坚持问题导向，进一步统一思想，明确主导品种和技术路线，提出转型发展的措施。四是落实草原奖补政策。实施草原禁牧1.64亿亩，草畜平衡管理4.99亿亩。积极引导牧民利用奖补资金发展草牧业生产，提高自我发展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 进一步夯实畜牧业高质量发展基础。一是加强畜禽种业基地建设。完成国家第三次畜禽遗传资源普查工作，皮山红羊被国家认定为畜禽遗传新资源。持续实施畜禽种业提升计划，推广优质种公羊3万只、优质冻精150余万剂，羊供种能力提升了5%，牛冻精生产能力提升了80%。二是加强优质饲草料基地建设。落实“粮改饲”政策，用好秸秆等农副产品资源，推进豆粕减量替代，全区优质饲草种植面积超过1100万亩，饲料和饲料添加剂产量达到400万吨。三是强化科技支撑。筹建自治区现代农业畜牧产业技术体系，产学研用结合加速技术集成应用。新创建国家畜禽标准化养殖示范场5家，制（修）订地方标准12项、国家和行业标准7项，3项畜牧业成果获得自治区科技进步一等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 持续强化动物疫病防控和畜产品质量安全监管。一是强化重大动物疫病防控。扎实开展春秋两季重大动物疫病强制免疫，全年重大动物疫病免疫密度和免疫抗体合格率分别保持在国家规定的90%和70%以上。二是加强动物疫病综合防控。健全人畜共患病联防联控工作机制，推进动物疫病净化，4家国家级、16家自治区级动物疫病净化场和3家无疫小区通过现场验收评估。经过60年接续努力，马传染性贫血消灭工作通过了国家验收。地县两级兽医实验室检测能力比对总体符合率达到96.93%，提升了3.84个百分点。三是加强检疫监督和队伍建设。全面推行动物检疫（B证）电子出证，强化动物跨省调运监管，召开南北疆两个片区社会化服务现场推进会，全区畜牧兽医社会化服务组织达到301个。四是加强畜产品质量安全监管。实施兽药二维码追溯和兽用抗菌药使用减量化行动，推进牛羊定点屠宰厂（场）分级管理试点，常态化开展肉蛋奶等畜产品质量安全监测工作。全年畜产品、兽药、饲料监测合格率均达到98%以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持续加强畜牧行业管理。一是加强畜牧业统计监测工作。与国家统计局新疆调查总队、自治区统计局联合开展畜禽养殖数据摸底调查和统计样本轮换，坚持月分析、季调度工作机制，每季度召开生产形势研判会，及时协调解决产业发展中的困难问题，生产形势分析更加科学精准。二是积极争取项目资金和金融支持。全年落实中央财政、中央预算内和自治区财政项目资金38.38亿元。与金融机构积极对接，推动扶持畜牧业发展信贷政策的落实，预计全区畜牧业贷款余额达到800亿元，同比增长15%以上。三是推进兵地融合发展。签订了《兵地共建畜牧兽医大数据信息管理平台框架合作协议》，实现了畜牧业数据融合互通。兵地携手打造肉牛肉羊、乳业2个全产业链龙头企业集团。</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四、评价结论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产出指标分析包括1个二级指标，4个三级指标，满分70分，实际得分61.77分，效果指标分析包括1个二级指标，1个三级指标，满分20分，实际得分20分。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（一）指标一：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标设定情况，全区奶产量增长率指标。指标值=10%，完成值=9.4%，完成率94%，偏差率9.4%，偏差原因是畜牧产业技术体系牵头实施的畜禽联合育种攻关、畜牧技术集成示范推广有力地推动了全区畜禽良种率，提高了肉产量，但是还是与年初设定的指标值还是存在一定差距。据统计，2023年全区（含兵团）猪牛羊禽肉总产量208.95万吨、同比增长9.4%.。2023年末全区猪牛羊存栏5842.29万头只（含兵团，下同），同比下降2.4%；家禽存栏6139.04万羽，同比下降3.4%；猪牛羊出栏4709.65万头只，同比增长6.3%；家禽出栏1.28亿羽，同比下降3.1%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目标设定情况，全区奶产量增长率指标，指标值为=9%，实际完成4.6%，完成率51.1%，偏差率56.79%，偏差原因年初设定比列高，不实际。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2023年度部门整体支出绩效自评综合得分88.29分，评价结果为“良”。</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四、</w:t>
      </w:r>
      <w:r>
        <w:rPr>
          <w:rFonts w:hint="eastAsia" w:ascii="仿宋_GB2312" w:hAnsi="宋体" w:eastAsia="仿宋_GB2312"/>
          <w:bCs/>
          <w:sz w:val="32"/>
          <w:szCs w:val="32"/>
        </w:rPr>
        <w:tab/>
        <w:t>存在的主要问题及原因分析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1.存在的问题：一是基层对全面预算绩效管理的重要性认识不足；二是绩效管理能力水平亟待提升；三是绩效评价结果运用不理想。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存在的原因：一是部分预算单位对绩效指标设置理解不到位，对项目资金实施效果总结不到位，绩效自评报告质量较低，不能客观反映资金使用实效，影响了预算资金安排。二是绩效评价结果与预算安排、政策调整挂钩的机制尚未真正建立，绩效评价结果多停留在反映情况、查找问题、研提建议等层面，未能与下一年度预算安排、预算编制、预算执行等有效结合。</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五、</w:t>
      </w:r>
      <w:r>
        <w:rPr>
          <w:rFonts w:hint="eastAsia" w:ascii="仿宋_GB2312" w:hAnsi="宋体" w:eastAsia="仿宋_GB2312"/>
          <w:bCs/>
          <w:sz w:val="32"/>
          <w:szCs w:val="32"/>
        </w:rPr>
        <w:tab/>
        <w:t>改进措施和建议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健全完善管理制度。进一步健全完善涵盖绩效目标、绩效监控、绩效评价、评价结果运用等各环节的管理流程，完善预算绩效管理制度和实施细则，确保预算绩效管理贯穿畜牧业高质量发展重大政策落实、重大项目实施全过程。充分发挥第三方机构参与预算绩效管理的作用，使预算绩效管理有章可循、有规可依。二是强化绩效监控管理。切实发挥预算绩效管理主体责任，加强对政策执行、项目资金运行状况及绩效目标预期实现程度的监控，强化畜牧兽医重大项目支出绩效监控工作，对畜牧业专项资金项目实施全面绩效管理，进一步健全绩效评价结果与预算安排、改进管理、政策调整的挂钩机制，切实做到“花钱必问效、无效必问责”。三是加强政策宣传培训。进一步加大对财政预算绩效管理相关理念和政策的宣传力度，宣传绩效管理理念和政策，注重政策培训，营造良好的绩效管理工作氛围，努力提高畜牧兽医预算绩效管理和绩效评价水平，切实发挥预算资金使用效益。四是加大信息公开力度。根据自治区党委、政府，自治区财政厅关于财政预算公开工作的要求，进一步提高部门预算公开的完整性、及时性、有效性。将财政部、农业农村部、自治区财政厅批复的绩效目标、绩效评价结果随部门预算、决算同步公开，接受社会监督。</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BF244C7"/>
    <w:rsid w:val="7F200B83"/>
    <w:rsid w:val="7F5D585A"/>
    <w:rsid w:val="AF7F2467"/>
    <w:rsid w:val="CFC2B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2</TotalTime>
  <ScaleCrop>false</ScaleCrop>
  <LinksUpToDate>false</LinksUpToDate>
  <CharactersWithSpaces>384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2020-06-04T13:22:00Z</dcterms:created>
  <dc:creator>hongbing liu</dc:creator>
  <cp:lastModifiedBy>user</cp:lastModifiedBy>
  <dcterms:modified xsi:type="dcterms:W3CDTF">2025-02-07T11:46:36Z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4E2A216151A24EE5A190066F518526B7</vt:lpwstr>
  </property>
</Properties>
</file>